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1752A185">
      <w:pPr>
        <w:keepNext/>
        <w:keepLines/>
        <w:spacing w:before="260" w:after="260" w:line="416" w:lineRule="atLeast"/>
        <w:jc w:val="center"/>
        <w:outlineLvl w:val="1"/>
        <w:rPr>
          <w:rFonts w:hint="eastAsia" w:ascii="Times New Roman" w:hAnsi="Times New Roman"/>
          <w:b/>
          <w:bCs/>
          <w:sz w:val="28"/>
          <w:szCs w:val="28"/>
        </w:rPr>
      </w:pPr>
    </w:p>
    <w:p w14:paraId="76AD58C6">
      <w:pPr>
        <w:keepNext/>
        <w:keepLines/>
        <w:spacing w:before="260" w:after="260" w:line="416" w:lineRule="atLeast"/>
        <w:jc w:val="both"/>
        <w:outlineLvl w:val="1"/>
        <w:rPr>
          <w:rFonts w:hint="eastAsia" w:ascii="Times New Roman" w:hAnsi="Times New Roman"/>
          <w:b/>
          <w:bCs/>
          <w:sz w:val="28"/>
          <w:szCs w:val="28"/>
        </w:rPr>
      </w:pPr>
    </w:p>
    <w:p w14:paraId="5FA1605D">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《老年人营养膳食与保健》</w:t>
      </w:r>
    </w:p>
    <w:p w14:paraId="72DD4894">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5E81C5F3">
      <w:pPr>
        <w:keepNext/>
        <w:keepLines/>
        <w:spacing w:before="260" w:after="260" w:line="240" w:lineRule="auto"/>
        <w:jc w:val="center"/>
        <w:outlineLvl w:val="1"/>
        <w:rPr>
          <w:rFonts w:hint="eastAsia" w:ascii="Times New Roman" w:hAnsi="Times New Roman"/>
          <w:b/>
          <w:bCs/>
          <w:sz w:val="21"/>
          <w:szCs w:val="21"/>
        </w:rPr>
      </w:pPr>
    </w:p>
    <w:p w14:paraId="412EDB9B">
      <w:pPr>
        <w:keepNext/>
        <w:keepLines/>
        <w:spacing w:before="260" w:after="260" w:line="240" w:lineRule="auto"/>
        <w:jc w:val="center"/>
        <w:outlineLvl w:val="1"/>
        <w:rPr>
          <w:rFonts w:hint="eastAsia" w:ascii="Times New Roman" w:hAnsi="Times New Roman"/>
          <w:b/>
          <w:bCs/>
          <w:sz w:val="21"/>
          <w:szCs w:val="21"/>
        </w:rPr>
      </w:pPr>
    </w:p>
    <w:p w14:paraId="1DE0F138">
      <w:pPr>
        <w:keepNext/>
        <w:keepLines/>
        <w:spacing w:before="260" w:after="260" w:line="240" w:lineRule="auto"/>
        <w:jc w:val="center"/>
        <w:outlineLvl w:val="1"/>
        <w:rPr>
          <w:rFonts w:hint="eastAsia" w:ascii="Times New Roman" w:hAnsi="Times New Roman"/>
          <w:b/>
          <w:bCs/>
          <w:sz w:val="21"/>
          <w:szCs w:val="21"/>
        </w:rPr>
      </w:pPr>
    </w:p>
    <w:p w14:paraId="7F875E9A">
      <w:pPr>
        <w:keepNext/>
        <w:keepLines/>
        <w:spacing w:before="260" w:after="260" w:line="240" w:lineRule="auto"/>
        <w:jc w:val="center"/>
        <w:outlineLvl w:val="1"/>
        <w:rPr>
          <w:rFonts w:hint="eastAsia" w:ascii="Times New Roman" w:hAnsi="Times New Roman"/>
          <w:b/>
          <w:bCs/>
          <w:sz w:val="21"/>
          <w:szCs w:val="21"/>
        </w:rPr>
      </w:pPr>
    </w:p>
    <w:p w14:paraId="25768923">
      <w:pPr>
        <w:keepNext/>
        <w:keepLines/>
        <w:spacing w:before="260" w:after="260" w:line="240" w:lineRule="auto"/>
        <w:jc w:val="center"/>
        <w:outlineLvl w:val="1"/>
        <w:rPr>
          <w:rFonts w:hint="eastAsia" w:ascii="Times New Roman" w:hAnsi="Times New Roman"/>
          <w:b/>
          <w:bCs/>
          <w:sz w:val="21"/>
          <w:szCs w:val="21"/>
        </w:rPr>
      </w:pPr>
    </w:p>
    <w:p w14:paraId="7B0338A8">
      <w:pPr>
        <w:keepNext/>
        <w:keepLines/>
        <w:spacing w:before="260" w:after="260" w:line="240" w:lineRule="auto"/>
        <w:jc w:val="center"/>
        <w:outlineLvl w:val="1"/>
        <w:rPr>
          <w:rFonts w:hint="eastAsia" w:ascii="Times New Roman" w:hAnsi="Times New Roman"/>
          <w:b/>
          <w:bCs/>
          <w:sz w:val="21"/>
          <w:szCs w:val="21"/>
        </w:rPr>
      </w:pPr>
    </w:p>
    <w:p w14:paraId="00F1166D">
      <w:pPr>
        <w:keepNext/>
        <w:keepLines/>
        <w:spacing w:before="260" w:after="260" w:line="240" w:lineRule="auto"/>
        <w:jc w:val="center"/>
        <w:outlineLvl w:val="1"/>
        <w:rPr>
          <w:rFonts w:hint="eastAsia" w:ascii="Times New Roman" w:hAnsi="Times New Roman"/>
          <w:b/>
          <w:bCs/>
          <w:sz w:val="21"/>
          <w:szCs w:val="21"/>
        </w:rPr>
      </w:pPr>
    </w:p>
    <w:p w14:paraId="23BA17FF">
      <w:pPr>
        <w:keepNext/>
        <w:keepLines/>
        <w:spacing w:before="260" w:after="260" w:line="240" w:lineRule="auto"/>
        <w:jc w:val="center"/>
        <w:outlineLvl w:val="1"/>
        <w:rPr>
          <w:rFonts w:hint="eastAsia" w:ascii="Times New Roman" w:hAnsi="Times New Roman"/>
          <w:b/>
          <w:bCs/>
          <w:sz w:val="21"/>
          <w:szCs w:val="21"/>
        </w:rPr>
      </w:pPr>
    </w:p>
    <w:p w14:paraId="2327EB3A">
      <w:pPr>
        <w:keepNext/>
        <w:keepLines/>
        <w:spacing w:before="260" w:after="260" w:line="240" w:lineRule="auto"/>
        <w:jc w:val="center"/>
        <w:outlineLvl w:val="1"/>
        <w:rPr>
          <w:rFonts w:hint="eastAsia" w:ascii="Times New Roman" w:hAnsi="Times New Roman"/>
          <w:b/>
          <w:bCs/>
          <w:sz w:val="21"/>
          <w:szCs w:val="21"/>
        </w:rPr>
      </w:pPr>
    </w:p>
    <w:p w14:paraId="0AF477C6">
      <w:pPr>
        <w:keepNext/>
        <w:keepLines/>
        <w:spacing w:before="260" w:after="260" w:line="240" w:lineRule="auto"/>
        <w:jc w:val="center"/>
        <w:outlineLvl w:val="1"/>
        <w:rPr>
          <w:rFonts w:hint="eastAsia" w:ascii="Times New Roman" w:hAnsi="Times New Roman"/>
          <w:b/>
          <w:bCs/>
          <w:sz w:val="21"/>
          <w:szCs w:val="21"/>
        </w:rPr>
      </w:pPr>
    </w:p>
    <w:p w14:paraId="6F5E276E">
      <w:pPr>
        <w:keepNext/>
        <w:keepLines/>
        <w:spacing w:before="260" w:after="260" w:line="240" w:lineRule="auto"/>
        <w:jc w:val="center"/>
        <w:outlineLvl w:val="1"/>
        <w:rPr>
          <w:rFonts w:hint="eastAsia" w:ascii="Times New Roman" w:hAnsi="Times New Roman"/>
          <w:b/>
          <w:bCs/>
          <w:sz w:val="28"/>
          <w:szCs w:val="28"/>
        </w:rPr>
      </w:pPr>
    </w:p>
    <w:p w14:paraId="6B55393A">
      <w:pPr>
        <w:keepNext/>
        <w:keepLines/>
        <w:spacing w:before="260" w:after="260" w:line="240" w:lineRule="auto"/>
        <w:jc w:val="center"/>
        <w:outlineLvl w:val="1"/>
        <w:rPr>
          <w:rFonts w:hint="eastAsia" w:ascii="Times New Roman" w:hAnsi="Times New Roman"/>
          <w:b/>
          <w:bCs/>
          <w:sz w:val="28"/>
          <w:szCs w:val="28"/>
        </w:rPr>
      </w:pPr>
    </w:p>
    <w:p w14:paraId="66B49C36">
      <w:pPr>
        <w:keepNext/>
        <w:keepLines/>
        <w:spacing w:before="260" w:after="260" w:line="240" w:lineRule="auto"/>
        <w:jc w:val="center"/>
        <w:outlineLvl w:val="1"/>
        <w:rPr>
          <w:rFonts w:hint="eastAsia" w:ascii="Times New Roman" w:hAnsi="Times New Roman"/>
          <w:b/>
          <w:bCs/>
          <w:sz w:val="28"/>
          <w:szCs w:val="28"/>
        </w:rPr>
      </w:pPr>
    </w:p>
    <w:p w14:paraId="0419D252">
      <w:pPr>
        <w:keepNext/>
        <w:keepLines/>
        <w:spacing w:before="260" w:after="260" w:line="240" w:lineRule="auto"/>
        <w:jc w:val="center"/>
        <w:outlineLvl w:val="1"/>
        <w:rPr>
          <w:rFonts w:hint="eastAsia" w:ascii="Times New Roman" w:hAnsi="Times New Roman"/>
          <w:b/>
          <w:bCs/>
          <w:sz w:val="28"/>
          <w:szCs w:val="28"/>
        </w:rPr>
      </w:pPr>
    </w:p>
    <w:p w14:paraId="1B154304">
      <w:pPr>
        <w:keepNext/>
        <w:keepLines/>
        <w:spacing w:before="260" w:after="260" w:line="240" w:lineRule="auto"/>
        <w:jc w:val="center"/>
        <w:outlineLvl w:val="1"/>
        <w:rPr>
          <w:rFonts w:hint="default" w:ascii="Times New Roman" w:hAnsi="Times New Roman" w:eastAsia="宋体"/>
          <w:b/>
          <w:bCs/>
          <w:sz w:val="28"/>
          <w:szCs w:val="28"/>
          <w:lang w:val="en-US" w:eastAsia="zh-CN"/>
        </w:rPr>
      </w:pPr>
      <w:r>
        <w:rPr>
          <w:rFonts w:hint="eastAsia" w:ascii="Times New Roman" w:hAnsi="Times New Roman"/>
          <w:b/>
          <w:bCs/>
          <w:sz w:val="28"/>
          <w:szCs w:val="28"/>
          <w:lang w:val="en-US" w:eastAsia="zh-CN"/>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29D5CC5B">
      <w:pPr>
        <w:keepNext/>
        <w:keepLines/>
        <w:spacing w:before="260" w:after="260" w:line="416" w:lineRule="atLeast"/>
        <w:jc w:val="center"/>
        <w:outlineLvl w:val="1"/>
        <w:rPr>
          <w:rFonts w:hint="default" w:ascii="Times New Roman" w:hAnsi="Times New Roman" w:eastAsia="宋体"/>
          <w:b/>
          <w:bCs/>
          <w:color w:val="7030A0"/>
          <w:sz w:val="28"/>
          <w:szCs w:val="28"/>
          <w:lang w:val="en-US" w:eastAsia="zh-CN"/>
        </w:rPr>
      </w:pPr>
      <w:r>
        <w:rPr>
          <w:rFonts w:hint="eastAsia" w:ascii="微软简老宋" w:hAnsi="微软简老宋" w:eastAsia="微软简老宋" w:cs="微软简老宋"/>
          <w:b w:val="0"/>
          <w:bCs w:val="0"/>
          <w:color w:val="7030A0"/>
          <w:sz w:val="32"/>
          <w:szCs w:val="32"/>
          <w:lang w:val="en-US" w:eastAsia="zh-CN"/>
        </w:rPr>
        <w:t>单元七</w:t>
      </w:r>
      <w:bookmarkStart w:id="0" w:name="_GoBack"/>
      <w:bookmarkEnd w:id="0"/>
      <w:r>
        <w:rPr>
          <w:rFonts w:hint="eastAsia" w:ascii="微软简老宋" w:hAnsi="微软简老宋" w:eastAsia="微软简老宋" w:cs="微软简老宋"/>
          <w:b w:val="0"/>
          <w:bCs w:val="0"/>
          <w:color w:val="7030A0"/>
          <w:sz w:val="32"/>
          <w:szCs w:val="32"/>
          <w:lang w:val="en-US" w:eastAsia="zh-CN"/>
        </w:rPr>
        <w:t xml:space="preserve">  老年人常见慢病的营养指导</w:t>
      </w:r>
    </w:p>
    <w:tbl>
      <w:tblPr>
        <w:tblStyle w:val="11"/>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3384969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478157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35FA90CE">
            <w:pPr>
              <w:keepNext w:val="0"/>
              <w:keepLines w:val="0"/>
              <w:suppressLineNumbers w:val="0"/>
              <w:spacing w:before="0" w:beforeAutospacing="0" w:after="0" w:afterAutospacing="0" w:line="360" w:lineRule="auto"/>
              <w:ind w:left="0" w:right="0"/>
              <w:rPr>
                <w:rFonts w:hint="default" w:ascii="Times New Roman" w:hAnsi="Times New Roman" w:eastAsia="宋体"/>
                <w:sz w:val="24"/>
                <w:szCs w:val="24"/>
                <w:lang w:val="en-US" w:eastAsia="zh-CN"/>
              </w:rPr>
            </w:pPr>
            <w:r>
              <w:rPr>
                <w:rFonts w:hint="eastAsia" w:ascii="Times New Roman" w:hAnsi="宋体"/>
                <w:b/>
                <w:bCs/>
                <w:color w:val="7030A0"/>
                <w:sz w:val="32"/>
                <w:szCs w:val="32"/>
                <w:lang w:val="en-US" w:eastAsia="zh-CN"/>
              </w:rPr>
              <w:t>老年人常见慢病的营养指导</w:t>
            </w:r>
          </w:p>
        </w:tc>
      </w:tr>
      <w:tr w14:paraId="3876352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4D3FE4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04" w:type="dxa"/>
            <w:gridSpan w:val="2"/>
            <w:tcBorders>
              <w:tl2br w:val="nil"/>
              <w:tr2bl w:val="nil"/>
            </w:tcBorders>
            <w:vAlign w:val="center"/>
          </w:tcPr>
          <w:p w14:paraId="50F2858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4</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180</w:t>
            </w:r>
            <w:r>
              <w:rPr>
                <w:rFonts w:hint="eastAsia" w:ascii="Times New Roman" w:hAnsi="宋体"/>
                <w:sz w:val="24"/>
                <w:szCs w:val="24"/>
              </w:rPr>
              <w:t>min）。</w:t>
            </w:r>
          </w:p>
        </w:tc>
      </w:tr>
      <w:tr w14:paraId="061FC37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B3F2A4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04" w:type="dxa"/>
            <w:gridSpan w:val="2"/>
            <w:tcBorders>
              <w:tl2br w:val="nil"/>
              <w:tr2bl w:val="nil"/>
            </w:tcBorders>
            <w:vAlign w:val="center"/>
          </w:tcPr>
          <w:p w14:paraId="03E501A4">
            <w:pPr>
              <w:keepNext w:val="0"/>
              <w:keepLines w:val="0"/>
              <w:suppressLineNumbers w:val="0"/>
              <w:spacing w:before="0" w:beforeAutospacing="0" w:after="0" w:afterAutospacing="0" w:line="360" w:lineRule="auto"/>
              <w:ind w:left="0" w:right="0" w:hanging="8"/>
              <w:rPr>
                <w:rFonts w:hint="default"/>
                <w:b/>
                <w:color w:val="7030A0"/>
                <w:sz w:val="24"/>
                <w:szCs w:val="24"/>
              </w:rPr>
            </w:pPr>
            <w:r>
              <w:rPr>
                <w:rFonts w:hint="default" w:hAnsi="宋体"/>
                <w:b/>
                <w:color w:val="7030A0"/>
                <w:sz w:val="24"/>
                <w:szCs w:val="24"/>
              </w:rPr>
              <w:t>知识</w:t>
            </w:r>
            <w:r>
              <w:rPr>
                <w:rFonts w:hint="eastAsia" w:hAnsi="宋体"/>
                <w:b/>
                <w:color w:val="7030A0"/>
                <w:sz w:val="24"/>
                <w:szCs w:val="24"/>
              </w:rPr>
              <w:t>技能</w:t>
            </w:r>
            <w:r>
              <w:rPr>
                <w:rFonts w:hint="default" w:hAnsi="宋体"/>
                <w:b/>
                <w:color w:val="7030A0"/>
                <w:sz w:val="24"/>
                <w:szCs w:val="24"/>
              </w:rPr>
              <w:t>目标：</w:t>
            </w:r>
          </w:p>
          <w:p w14:paraId="10E6D1C3">
            <w:pPr>
              <w:keepNext w:val="0"/>
              <w:keepLines w:val="0"/>
              <w:suppressLineNumbers w:val="0"/>
              <w:spacing w:before="0" w:beforeAutospacing="0" w:after="0" w:afterAutospacing="0"/>
              <w:ind w:left="0" w:right="0" w:firstLine="0" w:firstLineChars="0"/>
              <w:rPr>
                <w:rFonts w:hint="default" w:ascii="宋体" w:hAnsi="宋体"/>
                <w:szCs w:val="21"/>
                <w:lang w:val="en-US" w:eastAsia="zh-CN"/>
              </w:rPr>
            </w:pPr>
            <w:r>
              <w:rPr>
                <w:rFonts w:hint="eastAsia" w:ascii="宋体" w:hAnsi="宋体"/>
                <w:szCs w:val="21"/>
                <w:lang w:val="en-US" w:eastAsia="zh-CN"/>
              </w:rPr>
              <w:t>1.能够说出老年人常见慢性疾病的种类；老年人营养膳食与各种慢性疾病之间的关系。</w:t>
            </w:r>
          </w:p>
          <w:p w14:paraId="7A129DB5">
            <w:pPr>
              <w:keepNext w:val="0"/>
              <w:keepLines w:val="0"/>
              <w:numPr>
                <w:ilvl w:val="0"/>
                <w:numId w:val="0"/>
              </w:numPr>
              <w:suppressLineNumbers w:val="0"/>
              <w:spacing w:before="0" w:beforeAutospacing="0" w:after="0" w:afterAutospacing="0"/>
              <w:ind w:left="0" w:right="0" w:firstLine="0" w:firstLineChars="0"/>
              <w:rPr>
                <w:rFonts w:hint="default" w:ascii="宋体" w:hAnsi="宋体"/>
                <w:szCs w:val="21"/>
                <w:lang w:val="en-US" w:eastAsia="zh-CN"/>
              </w:rPr>
            </w:pPr>
            <w:r>
              <w:rPr>
                <w:rFonts w:hint="eastAsia" w:ascii="宋体" w:hAnsi="宋体"/>
                <w:szCs w:val="21"/>
                <w:lang w:val="en-US" w:eastAsia="zh-CN"/>
              </w:rPr>
              <w:t>2.能够对各种慢性疾病老年人进行营养膳食指导；可以熟练地为慢性病老年人制定一日食谱。</w:t>
            </w:r>
          </w:p>
          <w:p w14:paraId="64F9F6E3">
            <w:pPr>
              <w:keepNext w:val="0"/>
              <w:keepLines w:val="0"/>
              <w:suppressLineNumbers w:val="0"/>
              <w:spacing w:before="0" w:beforeAutospacing="0" w:after="0" w:afterAutospacing="0" w:line="360" w:lineRule="auto"/>
              <w:ind w:left="0" w:right="0" w:hanging="8"/>
              <w:rPr>
                <w:rFonts w:hint="default" w:ascii="Times New Roman" w:hAnsi="Times New Roman"/>
                <w:b/>
                <w:color w:val="7030A0"/>
                <w:sz w:val="24"/>
                <w:szCs w:val="24"/>
              </w:rPr>
            </w:pPr>
            <w:r>
              <w:rPr>
                <w:rFonts w:hint="default" w:ascii="Times New Roman" w:hAnsi="Times New Roman"/>
                <w:b/>
                <w:color w:val="7030A0"/>
                <w:sz w:val="24"/>
                <w:szCs w:val="24"/>
              </w:rPr>
              <w:t>思政育人目标</w:t>
            </w:r>
            <w:r>
              <w:rPr>
                <w:rFonts w:hint="eastAsia" w:ascii="Times New Roman" w:hAnsi="Times New Roman"/>
                <w:b/>
                <w:color w:val="7030A0"/>
                <w:sz w:val="24"/>
                <w:szCs w:val="24"/>
              </w:rPr>
              <w:t>：</w:t>
            </w:r>
          </w:p>
          <w:p w14:paraId="0CD48DA1">
            <w:pPr>
              <w:keepNext w:val="0"/>
              <w:keepLines w:val="0"/>
              <w:numPr>
                <w:ilvl w:val="0"/>
                <w:numId w:val="0"/>
              </w:numPr>
              <w:suppressLineNumbers w:val="0"/>
              <w:spacing w:before="0" w:beforeAutospacing="0" w:after="0" w:afterAutospacing="0"/>
              <w:ind w:left="0" w:right="0" w:firstLine="0" w:firstLineChars="0"/>
              <w:rPr>
                <w:rFonts w:hint="default" w:ascii="Times New Roman" w:hAnsi="Times New Roman"/>
                <w:sz w:val="24"/>
                <w:szCs w:val="24"/>
              </w:rPr>
            </w:pPr>
            <w:r>
              <w:rPr>
                <w:rFonts w:hint="eastAsia" w:ascii="宋体" w:hAnsi="宋体"/>
                <w:szCs w:val="21"/>
                <w:lang w:val="en-US" w:eastAsia="zh-CN"/>
              </w:rPr>
              <w:t>具有科学精神、工匠精神、人文精神，关爱和尊重老年人群健康问题；增进专业认同感，进一步树立细心、耐心和责任心。</w:t>
            </w:r>
          </w:p>
        </w:tc>
      </w:tr>
      <w:tr w14:paraId="3285629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1A560B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04" w:type="dxa"/>
            <w:gridSpan w:val="2"/>
            <w:tcBorders>
              <w:tl2br w:val="nil"/>
              <w:tr2bl w:val="nil"/>
            </w:tcBorders>
            <w:vAlign w:val="center"/>
          </w:tcPr>
          <w:p w14:paraId="4D74BA4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color w:val="7030A0"/>
                <w:sz w:val="24"/>
                <w:szCs w:val="24"/>
              </w:rPr>
              <w:t>教学重点：</w:t>
            </w:r>
            <w:r>
              <w:rPr>
                <w:rFonts w:hint="eastAsia" w:ascii="宋体" w:hAnsi="宋体" w:cs="宋体"/>
                <w:kern w:val="0"/>
                <w:sz w:val="24"/>
                <w:szCs w:val="24"/>
                <w:lang w:val="en-US" w:eastAsia="zh-CN"/>
              </w:rPr>
              <w:t>老年人营养膳食与各种慢性疾病之间</w:t>
            </w:r>
          </w:p>
          <w:p w14:paraId="3D51F38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color w:val="7030A0"/>
                <w:sz w:val="24"/>
                <w:szCs w:val="24"/>
              </w:rPr>
              <w:t>教学难点：</w:t>
            </w:r>
            <w:r>
              <w:rPr>
                <w:rFonts w:hint="eastAsia" w:ascii="宋体" w:hAnsi="宋体" w:cs="宋体"/>
                <w:kern w:val="0"/>
                <w:sz w:val="24"/>
                <w:szCs w:val="24"/>
                <w:lang w:val="en-US" w:eastAsia="zh-CN"/>
              </w:rPr>
              <w:t>对各种慢病老年人的营养膳食进行指导；为慢性病老年人制定一日食谱。</w:t>
            </w:r>
          </w:p>
        </w:tc>
      </w:tr>
      <w:tr w14:paraId="4FD6966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106A65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04" w:type="dxa"/>
            <w:gridSpan w:val="2"/>
            <w:tcBorders>
              <w:tl2br w:val="nil"/>
              <w:tr2bl w:val="nil"/>
            </w:tcBorders>
            <w:vAlign w:val="center"/>
          </w:tcPr>
          <w:p w14:paraId="65CC6B2B">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宋体"/>
                <w:sz w:val="24"/>
                <w:szCs w:val="24"/>
              </w:rPr>
              <w:t>讲授法、问答法、讨论法</w:t>
            </w:r>
            <w:r>
              <w:rPr>
                <w:rFonts w:hint="eastAsia" w:ascii="Times New Roman" w:hAnsi="宋体"/>
                <w:sz w:val="24"/>
                <w:szCs w:val="24"/>
                <w:lang w:eastAsia="zh-CN"/>
              </w:rPr>
              <w:t>、</w:t>
            </w:r>
            <w:r>
              <w:rPr>
                <w:rFonts w:hint="eastAsia" w:ascii="Times New Roman" w:hAnsi="宋体"/>
                <w:sz w:val="24"/>
                <w:szCs w:val="24"/>
                <w:lang w:val="en-US" w:eastAsia="zh-CN"/>
              </w:rPr>
              <w:t>案例教学法</w:t>
            </w:r>
          </w:p>
        </w:tc>
      </w:tr>
      <w:tr w14:paraId="6248C57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1A4FBA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04" w:type="dxa"/>
            <w:gridSpan w:val="2"/>
            <w:tcBorders>
              <w:tl2br w:val="nil"/>
              <w:tr2bl w:val="nil"/>
            </w:tcBorders>
            <w:vAlign w:val="center"/>
          </w:tcPr>
          <w:p w14:paraId="573BEBB9">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77732F8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949DB5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904" w:type="dxa"/>
            <w:gridSpan w:val="2"/>
            <w:tcBorders>
              <w:tl2br w:val="nil"/>
              <w:tr2bl w:val="nil"/>
            </w:tcBorders>
            <w:vAlign w:val="center"/>
          </w:tcPr>
          <w:p w14:paraId="6142D5B3">
            <w:pPr>
              <w:keepNext w:val="0"/>
              <w:keepLines w:val="0"/>
              <w:suppressLineNumbers w:val="0"/>
              <w:spacing w:before="0" w:beforeAutospacing="0" w:after="0" w:afterAutospacing="0" w:line="360" w:lineRule="auto"/>
              <w:ind w:left="0" w:right="0"/>
              <w:rPr>
                <w:rFonts w:hint="default" w:ascii="Times New Roman" w:hAnsi="宋体" w:cs="Times New Roman"/>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lang w:val="en-US" w:eastAsia="zh-CN"/>
              </w:rPr>
              <w:t>.2</w:t>
            </w:r>
            <w:r>
              <w:rPr>
                <w:rFonts w:hint="eastAsia" w:ascii="Times New Roman" w:hAnsi="宋体"/>
                <w:kern w:val="0"/>
                <w:sz w:val="24"/>
                <w:szCs w:val="24"/>
              </w:rPr>
              <w:t>节课：</w:t>
            </w:r>
            <w:r>
              <w:rPr>
                <w:rFonts w:hint="eastAsia" w:ascii="Times New Roman" w:hAnsi="宋体" w:cs="Times New Roman"/>
                <w:sz w:val="24"/>
                <w:szCs w:val="24"/>
                <w:lang w:val="en-US" w:eastAsia="zh-CN"/>
              </w:rPr>
              <w:t>考勤（3min）--知识讲解（80min）--作业布置（3min）--课堂小结（4分钟）--课后反思</w:t>
            </w:r>
          </w:p>
          <w:p w14:paraId="190286CB">
            <w:pPr>
              <w:keepNext w:val="0"/>
              <w:keepLines w:val="0"/>
              <w:suppressLineNumbers w:val="0"/>
              <w:spacing w:before="0" w:beforeAutospacing="0" w:after="0" w:afterAutospacing="0" w:line="360" w:lineRule="auto"/>
              <w:ind w:left="0" w:right="0"/>
              <w:rPr>
                <w:rFonts w:hint="default" w:ascii="Times New Roman" w:hAnsi="宋体"/>
                <w:sz w:val="24"/>
                <w:szCs w:val="24"/>
              </w:rPr>
            </w:pPr>
            <w:r>
              <w:rPr>
                <w:rFonts w:hint="eastAsia" w:ascii="Times New Roman" w:hAnsi="宋体"/>
                <w:kern w:val="0"/>
                <w:sz w:val="24"/>
                <w:szCs w:val="24"/>
              </w:rPr>
              <w:t>第</w:t>
            </w:r>
            <w:r>
              <w:rPr>
                <w:rFonts w:hint="eastAsia" w:ascii="Times New Roman" w:hAnsi="宋体"/>
                <w:kern w:val="0"/>
                <w:sz w:val="24"/>
                <w:szCs w:val="24"/>
                <w:lang w:val="en-US" w:eastAsia="zh-CN"/>
              </w:rPr>
              <w:t>3.4</w:t>
            </w:r>
            <w:r>
              <w:rPr>
                <w:rFonts w:hint="eastAsia" w:ascii="Times New Roman" w:hAnsi="宋体"/>
                <w:kern w:val="0"/>
                <w:sz w:val="24"/>
                <w:szCs w:val="24"/>
              </w:rPr>
              <w:t>节课：</w:t>
            </w:r>
            <w:r>
              <w:rPr>
                <w:rFonts w:hint="eastAsia" w:ascii="Times New Roman" w:hAnsi="宋体" w:cs="Times New Roman"/>
                <w:sz w:val="24"/>
                <w:szCs w:val="24"/>
                <w:lang w:val="en-US" w:eastAsia="zh-CN"/>
              </w:rPr>
              <w:t>考勤（3min）--知识讲解（80min）--作业布置（3min）--课堂小结（4分钟）--课后反思</w:t>
            </w:r>
          </w:p>
        </w:tc>
      </w:tr>
      <w:tr w14:paraId="0B7D03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0894751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DCD2181">
            <w:pPr>
              <w:keepNext w:val="0"/>
              <w:keepLines w:val="0"/>
              <w:suppressLineNumbers w:val="0"/>
              <w:spacing w:before="0" w:beforeAutospacing="0" w:after="0" w:afterAutospacing="0" w:line="360" w:lineRule="auto"/>
              <w:ind w:left="0" w:right="0"/>
              <w:jc w:val="center"/>
              <w:rPr>
                <w:rFonts w:hint="eastAsia" w:ascii="Times New Roman" w:hAnsi="Times New Roman" w:eastAsia="宋体"/>
                <w:b/>
                <w:bCs w:val="0"/>
                <w:color w:val="FFFFFF" w:themeColor="background1"/>
                <w:sz w:val="24"/>
                <w:szCs w:val="24"/>
                <w:lang w:eastAsia="zh-CN"/>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r>
              <w:rPr>
                <w:rFonts w:hint="eastAsia" w:ascii="Times New Roman" w:hAnsi="Times New Roman"/>
                <w:b/>
                <w:bCs w:val="0"/>
                <w:color w:val="FFFFFF" w:themeColor="background1"/>
                <w:sz w:val="24"/>
                <w:szCs w:val="24"/>
                <w:lang w:eastAsia="zh-CN"/>
                <w14:textFill>
                  <w14:solidFill>
                    <w14:schemeClr w14:val="bg1"/>
                  </w14:solidFill>
                </w14:textFill>
              </w:rPr>
              <w:t>（</w:t>
            </w:r>
            <w:r>
              <w:rPr>
                <w:rFonts w:hint="eastAsia" w:ascii="Times New Roman" w:hAnsi="Times New Roman"/>
                <w:b/>
                <w:bCs w:val="0"/>
                <w:color w:val="FFFFFF" w:themeColor="background1"/>
                <w:sz w:val="24"/>
                <w:szCs w:val="24"/>
                <w:lang w:val="en-US" w:eastAsia="zh-CN"/>
                <w14:textFill>
                  <w14:solidFill>
                    <w14:schemeClr w14:val="bg1"/>
                  </w14:solidFill>
                </w14:textFill>
              </w:rPr>
              <w:t>1.2课时</w:t>
            </w:r>
            <w:r>
              <w:rPr>
                <w:rFonts w:hint="eastAsia" w:ascii="Times New Roman" w:hAnsi="Times New Roman"/>
                <w:b/>
                <w:bCs w:val="0"/>
                <w:color w:val="FFFFFF" w:themeColor="background1"/>
                <w:sz w:val="24"/>
                <w:szCs w:val="24"/>
                <w:lang w:eastAsia="zh-CN"/>
                <w14:textFill>
                  <w14:solidFill>
                    <w14:schemeClr w14:val="bg1"/>
                  </w14:solidFill>
                </w14:textFill>
              </w:rPr>
              <w:t>）</w:t>
            </w:r>
          </w:p>
        </w:tc>
        <w:tc>
          <w:tcPr>
            <w:tcW w:w="1696" w:type="dxa"/>
            <w:tcBorders>
              <w:tl2br w:val="nil"/>
              <w:tr2bl w:val="nil"/>
            </w:tcBorders>
            <w:shd w:val="clear" w:color="auto" w:fill="A878D4"/>
            <w:vAlign w:val="center"/>
          </w:tcPr>
          <w:p w14:paraId="2AB6DCB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199800F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EEAD10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593C468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3min</w:t>
            </w:r>
            <w:r>
              <w:rPr>
                <w:rFonts w:hint="eastAsia" w:ascii="Times New Roman" w:hAnsi="Times New Roman"/>
                <w:b/>
                <w:sz w:val="24"/>
                <w:szCs w:val="24"/>
                <w:lang w:eastAsia="zh-CN"/>
              </w:rPr>
              <w:t>）</w:t>
            </w:r>
          </w:p>
        </w:tc>
        <w:tc>
          <w:tcPr>
            <w:tcW w:w="7208" w:type="dxa"/>
            <w:tcBorders>
              <w:tl2br w:val="nil"/>
              <w:tr2bl w:val="nil"/>
            </w:tcBorders>
            <w:vAlign w:val="center"/>
          </w:tcPr>
          <w:p w14:paraId="7F84D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FC6E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548235" w:themeColor="accent6" w:themeShade="BF"/>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p w14:paraId="654E6E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548235" w:themeColor="accent6" w:themeShade="BF"/>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lang w:val="en-US" w:eastAsia="zh-CN"/>
              </w:rPr>
              <w:t>提问，回顾相关基础知识，导入即将学习的新知识</w:t>
            </w:r>
          </w:p>
        </w:tc>
        <w:tc>
          <w:tcPr>
            <w:tcW w:w="1696" w:type="dxa"/>
            <w:tcBorders>
              <w:tl2br w:val="nil"/>
              <w:tr2bl w:val="nil"/>
            </w:tcBorders>
            <w:vAlign w:val="center"/>
          </w:tcPr>
          <w:p w14:paraId="47E834E0">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07096F7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D58D31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F89A0A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80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4943431B">
            <w:pPr>
              <w:keepNext w:val="0"/>
              <w:keepLines w:val="0"/>
              <w:suppressLineNumbers w:val="0"/>
              <w:spacing w:before="0" w:beforeAutospacing="0" w:after="0" w:afterAutospacing="0"/>
              <w:ind w:left="0" w:right="0" w:firstLine="480" w:firstLineChars="200"/>
              <w:jc w:val="both"/>
              <w:rPr>
                <w:rFonts w:hint="eastAsia" w:ascii="宋体" w:hAnsi="宋体" w:eastAsia="宋体" w:cs="宋体"/>
                <w:b/>
                <w:bCs/>
                <w:sz w:val="24"/>
                <w:szCs w:val="24"/>
                <w:lang w:val="en-US" w:eastAsia="zh-CN"/>
              </w:rPr>
            </w:pPr>
            <w:r>
              <w:rPr>
                <w:rFonts w:hint="eastAsia" w:ascii="Times New Roman" w:hAnsi="Times New Roman"/>
                <w:color w:val="C00000"/>
                <w:sz w:val="24"/>
                <w:szCs w:val="24"/>
                <w:lang w:eastAsia="zh-CN"/>
              </w:rPr>
              <w:t>【教师】</w:t>
            </w:r>
          </w:p>
          <w:p w14:paraId="2F6076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color w:val="C00000"/>
                <w:sz w:val="24"/>
                <w:szCs w:val="24"/>
                <w:lang w:val="en-US" w:eastAsia="zh-CN"/>
              </w:rPr>
            </w:pPr>
            <w:r>
              <w:rPr>
                <w:rFonts w:hint="eastAsia" w:ascii="Times New Roman" w:hAnsi="Times New Roman"/>
                <w:color w:val="C00000"/>
                <w:sz w:val="24"/>
                <w:szCs w:val="24"/>
                <w:lang w:val="en-US" w:eastAsia="zh-CN"/>
              </w:rPr>
              <w:t>老年常见慢病的营养指导</w:t>
            </w:r>
          </w:p>
          <w:p w14:paraId="1978E3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color w:val="auto"/>
                <w:sz w:val="24"/>
                <w:szCs w:val="24"/>
                <w:lang w:val="en-US" w:eastAsia="zh-CN"/>
              </w:rPr>
            </w:pPr>
            <w:r>
              <w:rPr>
                <w:rFonts w:hint="eastAsia" w:ascii="Times New Roman" w:hAnsi="Times New Roman"/>
                <w:color w:val="C00000"/>
                <w:sz w:val="24"/>
                <w:szCs w:val="24"/>
                <w:lang w:val="en-US" w:eastAsia="zh-CN"/>
              </w:rPr>
              <w:t xml:space="preserve">   </w:t>
            </w:r>
            <w:r>
              <w:rPr>
                <w:rFonts w:hint="eastAsia" w:ascii="Times New Roman" w:hAnsi="Times New Roman"/>
                <w:color w:val="auto"/>
                <w:sz w:val="24"/>
                <w:szCs w:val="24"/>
                <w:lang w:val="en-US" w:eastAsia="zh-CN"/>
              </w:rPr>
              <w:t xml:space="preserve"> 一、高血压</w:t>
            </w:r>
          </w:p>
          <w:p w14:paraId="5C0291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高血压(hypertension)是以体循环动脉压升高为主要临床表现的心血管综合征。年龄≥65岁，在未使用抗高血压药的情况下非同时3次测量血压，收缩压≥140mmHg  和/或舒张压≥90mmHg,即诊断为老年高血压。</w:t>
            </w:r>
          </w:p>
          <w:p w14:paraId="0A66B1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240" w:firstLineChars="1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(一)营养相关因素</w:t>
            </w:r>
          </w:p>
          <w:p w14:paraId="52B85C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 . 钠 摄入量与血压有关。</w:t>
            </w:r>
          </w:p>
          <w:p w14:paraId="6ADE02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 . 钾 对高血压具有一定的调节作用。</w:t>
            </w:r>
          </w:p>
          <w:p w14:paraId="290B8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 . 钙 摄入量与血压呈负相关。</w:t>
            </w:r>
          </w:p>
          <w:p w14:paraId="1A9F5E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脂肪、能量、维生素及酒精等对高血压也有一定的影响。</w:t>
            </w:r>
          </w:p>
          <w:p w14:paraId="632DE1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(二)营养防治</w:t>
            </w:r>
          </w:p>
          <w:p w14:paraId="568E62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确诊高血压后，长期坚持生活方式干预是高血压治疗的基石，营养治疗是生活方式干预的关键。 </w:t>
            </w:r>
          </w:p>
          <w:p w14:paraId="6BC7A7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1.控制总能量 超重或肥胖患者是高血压的高危人群</w:t>
            </w:r>
          </w:p>
          <w:p w14:paraId="3DEBD8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2.适量摄入蛋白质  选用鱼、虾、鸡蛋白、豆制品等优质蛋白，要注意适量。　　</w:t>
            </w:r>
          </w:p>
          <w:p w14:paraId="516688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3.限制脂肪和胆固醇摄入  高脂肪、高胆固醇膳食容易导致动脉粥样硬化，过多脂肪和胆固醇的摄入不利于高血压的防治。</w:t>
            </w:r>
          </w:p>
          <w:p w14:paraId="520A4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4.选择复合碳水化合物</w:t>
            </w:r>
          </w:p>
          <w:p w14:paraId="6FC3D8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5.限制钠盐摄入 </w:t>
            </w:r>
          </w:p>
          <w:p w14:paraId="6D54E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6.增加钾、钙、镁等无机盐摄入 </w:t>
            </w:r>
          </w:p>
          <w:p w14:paraId="7BE84D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7.丰富的维生素 </w:t>
            </w:r>
          </w:p>
          <w:p w14:paraId="18F3CD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8.限制饮酒 </w:t>
            </w:r>
          </w:p>
          <w:p w14:paraId="351F1B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9.注意药物饮食</w:t>
            </w:r>
          </w:p>
          <w:p w14:paraId="712C4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(三)膳食指导</w:t>
            </w:r>
          </w:p>
          <w:p w14:paraId="41BD59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color w:val="auto"/>
                <w:sz w:val="24"/>
                <w:szCs w:val="24"/>
                <w:lang w:val="en-US" w:eastAsia="zh-CN"/>
              </w:rPr>
            </w:pPr>
            <w:r>
              <w:rPr>
                <w:rFonts w:hint="default" w:ascii="Times New Roman" w:hAnsi="Times New Roman"/>
                <w:color w:val="auto"/>
                <w:sz w:val="24"/>
                <w:szCs w:val="24"/>
                <w:lang w:val="en-US" w:eastAsia="zh-CN"/>
              </w:rPr>
              <w:t>1.食物选择</w:t>
            </w:r>
          </w:p>
          <w:p w14:paraId="61BB27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(1)宜用食物：富含钾的食物，如瓜子、青椒、番茄、香蕉等；富含钙的食物，如牛乳、虾皮、鱼、蛋等；富含镁的食物，如香菇、菠菜、桂圆等。</w:t>
            </w:r>
          </w:p>
          <w:p w14:paraId="038038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(2)忌(少)用食物：过咸的食物，如腌制品、咸蛋、酱料等；高能量食物，如动物油脂、油炸食物 等；富含饱和脂肪酸和胆固醇的食物，如油渣、动物脑、鱼子、蟹黄等；辛辣食物，如芥末、辣椒、胡椒等。</w:t>
            </w:r>
          </w:p>
          <w:p w14:paraId="736C5B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color w:val="auto"/>
                <w:sz w:val="24"/>
                <w:szCs w:val="24"/>
                <w:lang w:val="en-US" w:eastAsia="zh-CN"/>
              </w:rPr>
            </w:pPr>
            <w:r>
              <w:rPr>
                <w:rFonts w:hint="default" w:ascii="Times New Roman" w:hAnsi="Times New Roman"/>
                <w:color w:val="auto"/>
                <w:sz w:val="24"/>
                <w:szCs w:val="24"/>
                <w:lang w:val="en-US" w:eastAsia="zh-CN"/>
              </w:rPr>
              <w:t xml:space="preserve">2.食谱与营养分析 </w:t>
            </w:r>
          </w:p>
          <w:p w14:paraId="48B14C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default" w:ascii="Times New Roman" w:hAnsi="Times New Roman"/>
                <w:color w:val="auto"/>
                <w:sz w:val="24"/>
                <w:szCs w:val="24"/>
                <w:lang w:val="en-US" w:eastAsia="zh-CN"/>
              </w:rPr>
              <w:t>案例分析：</w:t>
            </w:r>
            <w:r>
              <w:rPr>
                <w:rFonts w:hint="eastAsia" w:ascii="Times New Roman" w:hAnsi="Times New Roman"/>
                <w:color w:val="auto"/>
                <w:sz w:val="24"/>
                <w:szCs w:val="24"/>
                <w:lang w:val="en-US" w:eastAsia="zh-CN"/>
              </w:rPr>
              <w:t>李爷爷，高血压160/100mmHg,身高173cm, 体重80kg。饮食评估：饮食规律，抽烟约每日1包，饮酒约每日150ml,口味重，喜食腌制食物，无食物过敏史。</w:t>
            </w:r>
          </w:p>
          <w:p w14:paraId="01A5F7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每日能量及宏量营养素目标：每日摄入的能量应根据标准体重计算，按84～105kJ/kg(20～ 25kcal/kg)计算每日总能量；蛋白质供能占总能量的15%,脂肪供能占总能量的25%,碳水化合物供 能占总能量的60%。</w:t>
            </w:r>
          </w:p>
          <w:p w14:paraId="4AC4D4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标准体重及BMI:</w:t>
            </w:r>
          </w:p>
          <w:p w14:paraId="3BAAB2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标准体重=身高-105=173-105=68(kg)    BMI= 体重/身高²=80/1.73²≈26.73(kg/m²)</w:t>
            </w:r>
          </w:p>
          <w:p w14:paraId="29AF71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李爷爷体重超重，应限制总能量。每日能量及宏量营养素需要量：</w:t>
            </w:r>
          </w:p>
          <w:p w14:paraId="12D6AC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每日能量需要量=68×(20～25)=1360～1700(kcal)    蛋白质需要量=(1360～1700)×15%÷4=51～63.75(g)  脂肪需要量=(1360～1700)×25%÷9≈37.78～47.22(g)</w:t>
            </w:r>
          </w:p>
          <w:p w14:paraId="2C7695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碳水化合物需要量=(1360～1700)×60%÷4=204～255 (g) 食谱示例见表5-1。</w:t>
            </w:r>
          </w:p>
          <w:p w14:paraId="24B2DE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营养分析：食谱提供能量6.40MJ(1530kcal),蛋白质61g(244kcal,供能占总能量16.0%),脂肺 45g(405kcal,供能占总能量26.5%),碳水化合物220g(880kcal,供能占总能量57.5%)。</w:t>
            </w:r>
          </w:p>
          <w:p w14:paraId="376762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食谱分析：食谱中蛋、乳、瘦肉、鱼、豆制品为其提供了优质蛋白，蔬菜和水果提供了维生素、无机盐和膳食纤维。三餐膳食结构主副食、荤素菜搭配合理，低能量、低脂、低胆固醇，能够满足上述老年高血压人群的营养防治需要。</w:t>
            </w:r>
          </w:p>
          <w:p w14:paraId="0884A7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二、高脂血症的营养指导</w:t>
            </w:r>
          </w:p>
          <w:p w14:paraId="77309F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血脂异常是血浆中胆固醇  、甘油三酯  和 LDL-C 水平升 高 或HDL-C 水平降低等为特点的脂质合成障碍、代谢紊乱或降解受体通路障碍的总称。血脂异常与饮食、生活习惯等因素紧密相关，如饮酒、少动，肥胖、年龄、性别等也是重要因素。血脂异常多与动脉粥样硬化、糖尿病、冠心病相伴。</w:t>
            </w:r>
          </w:p>
          <w:p w14:paraId="48A848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(一)营养相关因素</w:t>
            </w:r>
          </w:p>
          <w:p w14:paraId="4A1AB4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1. 能量 </w:t>
            </w:r>
          </w:p>
          <w:p w14:paraId="1D9A09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 . 脂类 高能量、高脂肪膳食甘油三酯密度高，是引起血浆胆固醇水平升高的重要因素；同时会促进胆汁分泌，其水解产物极易形成混合微胶粒，促进胆固醇在黏膜细胞中进一步参与合成乳糜微粒，再转运入血，加剧血浆胆固醇的升高。膳食中饱和脂肪酸含量高可使血浆胆固醇升高。</w:t>
            </w:r>
          </w:p>
          <w:p w14:paraId="4D1444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3.碳水化合物 </w:t>
            </w:r>
          </w:p>
          <w:p w14:paraId="6609D8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4.膳食纤维 可影响胆固醇和胆酸的吸收，降低血胆固醇水平。尤其是可溶性膳食纤维对降低血胆固醇有明显的效果。</w:t>
            </w:r>
          </w:p>
          <w:p w14:paraId="2F5D1E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5.饮酒 </w:t>
            </w:r>
          </w:p>
          <w:p w14:paraId="031930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6.其他</w:t>
            </w:r>
          </w:p>
          <w:p w14:paraId="411A01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(二)营养防治</w:t>
            </w:r>
          </w:p>
          <w:p w14:paraId="2F8121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通过合理的营养可以控制总能量、脂肪及糖类的摄入，减轻体重，增加膳食纤维和多种维生素，调控血脂。</w:t>
            </w:r>
          </w:p>
          <w:p w14:paraId="0AECA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1.限制总能量 高胆固醇血症者要降低脂肪供能比，高甘油三酯血症者应严格控制单糖和双糖的摄入，添加糖摄入不应超过总能量的10%,肥胖和高甘油三酯血症者添加糖摄入应更低。限制能量密度高的食物(如动物脑、内脏等)。同时伴有肥胖者除饮食控制外需要增加中等强度运动，以促进体脂的分解。</w:t>
            </w:r>
          </w:p>
          <w:p w14:paraId="42A25B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2.限制饱和脂肪酸和胆固醇 高脂血症人群脂肪摄入量以占总能量20%～25%为宜，每日烹调油应不超过25g。</w:t>
            </w:r>
          </w:p>
          <w:p w14:paraId="0E47A1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3.碳水化合物  摄入量应占总能量的55%～65%,以成人能量摄入7.53～8.37MJ(1800～2000kcal)/d为例，相当于全日碳水化合物摄入量在247～325g。</w:t>
            </w:r>
          </w:p>
          <w:p w14:paraId="0F7D3F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4.适量蛋白质  动物蛋白可适当选择脂肪含量较低的鱼虾类、去皮禽肉、瘦肉等。乳类可选择脱脂或低脂牛乳等。提高大豆蛋白等植物蛋白的摄入，摄入25g/d 含大豆蛋白的食物，可降低心血管疾病发生的风险。</w:t>
            </w:r>
          </w:p>
          <w:p w14:paraId="54BFBD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5.增加膳食纤维、维生素和无机盐 每日膳食中包含25～40g 膳食纤维(其中7～13g 水溶性膳 食纤维)。多食新鲜蔬菜，推荐摄入500g/d, 深色蔬菜应当占一半以上，并含有丰富的膳食纤维的蔬 菜。</w:t>
            </w:r>
          </w:p>
          <w:p w14:paraId="3319D7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6.避免刺激性食物 少食辛辣、煎炸、油腻及热性食物。</w:t>
            </w:r>
          </w:p>
          <w:p w14:paraId="54068B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7.烹调方法 适量食用植物油，采用蒸、煮、炖、焯等烹调方法，避免油煎、油炸食品。 </w:t>
            </w:r>
          </w:p>
          <w:p w14:paraId="28D422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8.用药注意</w:t>
            </w:r>
          </w:p>
          <w:p w14:paraId="6AEEC9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(1)胆酸螯合树脂类(2)烟酸类(3)他汀类</w:t>
            </w:r>
          </w:p>
          <w:p w14:paraId="215E37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(三)膳食指导</w:t>
            </w:r>
          </w:p>
          <w:p w14:paraId="3ADA6D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1.食物选择</w:t>
            </w:r>
          </w:p>
          <w:p w14:paraId="22146A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(1)宜用食物：包括各种粗粮，如燕麦、荞麦、小米、玉米等；含单不饱和脂肪酸和多不饱和脂肪 酸的食物，如鱼类、大豆与坚果类食物；含膳食纤维丰富食物，如蔬菜和水果和菌藻类食物；富含优质蛋白的食物，如鸡蛋、去皮鸡胸肉、瘦肉、脱脂的乳及乳制品等。</w:t>
            </w:r>
          </w:p>
          <w:p w14:paraId="105D0D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(2)忌(少)用食物：忌除鱼油外的动物性油脂，如牛油、羊油、猪油等；忌含反式脂肪酸的人造奶 油、油炸食品、经过高温烹饪过的植物油等；忌各类高胆固醇食物，如动物内脏、鱼子、蟹黄、蛋黄等； 忌甜食和纯糖类食物，如蛋糕、糖果、高糖饮料等；忌辛辣刺激性食物，如辣椒、芥末、烈性酒、浓咖 啡、浓茶等。</w:t>
            </w:r>
          </w:p>
          <w:p w14:paraId="7AB746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2.食谱与营养分析  </w:t>
            </w:r>
          </w:p>
          <w:p w14:paraId="73F566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案例分析：王爷爷，体检血脂异常，身高1.70m, 体重78kg。王爷爷平时饮食规律，口味重，喜食动物性食物。</w:t>
            </w:r>
          </w:p>
          <w:p w14:paraId="3C82A3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每日能量及宏量营养素目标：王爷爷现体重超重，应限制总能量。每日摄入的能量应根据标准体重计算，按84～105kJ/kg(20～25kcal/kg)计算总能量；蛋白质供能占总能量的15%～20%,脂肪供能占总能量的20%～25%,碳水化合物供能占总能量的55%～65%。</w:t>
            </w:r>
          </w:p>
          <w:p w14:paraId="7D69FE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标准体重及BMI:</w:t>
            </w:r>
          </w:p>
          <w:p w14:paraId="4E15E8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标准体重=身高-105=170-105=65(kg)    BMI= 体重/身高²=78/1.70²≈26.99(kg/m²)</w:t>
            </w:r>
          </w:p>
          <w:p w14:paraId="7EF16A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王爷爷体重超重，应限制总能量。每日能量及宏量营养素需要量：</w:t>
            </w:r>
          </w:p>
          <w:p w14:paraId="6EF51F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每日能量需要量=65×(20～25)=1300～1625(kcal)</w:t>
            </w:r>
          </w:p>
          <w:p w14:paraId="5F9AAF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蛋白质需要量=(1300～1625)×(15%～20%)÷4=48.75～81.25(g)</w:t>
            </w:r>
          </w:p>
          <w:p w14:paraId="0A9439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脂肪需要量=(1300～1625)×(20%～25%)÷9≈28.89～45.14(g)</w:t>
            </w:r>
          </w:p>
          <w:p w14:paraId="026795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碳水化合物需要量=(1300～1625)×(55%～65%)÷4≈178.75～264.07(g) 　　 </w:t>
            </w:r>
          </w:p>
          <w:p w14:paraId="6D0D33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营养分析：食谱提供能量6.39MJ(1528kcal), 蛋白质72g(288kcal,供能占总能量19%),脂肪 33g(297kcal,供能占总能量19.4%),碳水化合物235g(940kcal,供能占总能量61.6%)。</w:t>
            </w:r>
          </w:p>
          <w:p w14:paraId="554EFF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食谱分析：食谱中牛乳、去皮鸡胸肉、鱼、豆制品提供了优质蛋白，蔬菜和水果提供足量的维生 素、无机盐和膳食纤维。三餐膳食结构主副食、荤素菜搭配合理。这属于低能量、低脂、低胆固醇脑 食，符合体重78kg,身高1.70m 的高脂血症轻体力活动并需要减脂的男性老年人的营养需求。</w:t>
            </w:r>
          </w:p>
          <w:p w14:paraId="15B17A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三、冠心病的营养指导</w:t>
            </w:r>
          </w:p>
          <w:p w14:paraId="5AD4BC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【案例导入】</w:t>
            </w:r>
          </w:p>
          <w:p w14:paraId="58498B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冠心病(coronary artery heart disease)又称冠状动脉粥样硬化性心脏病，指供养心肌的冠状动脉发生粥样硬化性改变(痉挛)使血管腔狭窄或阻塞导致心肌缺血、缺氧引起的心脏病。冠心病是动脉粥样硬化造成身体器官受累中最常见的类型，也是危害人类健康的常见疾病。</w:t>
            </w:r>
          </w:p>
          <w:p w14:paraId="729ADE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(一)营养相关因素</w:t>
            </w:r>
          </w:p>
          <w:p w14:paraId="6151A9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1.能量</w:t>
            </w:r>
          </w:p>
          <w:p w14:paraId="41FD96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2.脂类</w:t>
            </w:r>
          </w:p>
          <w:p w14:paraId="5C05C6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3.碳水化合物 </w:t>
            </w:r>
          </w:p>
          <w:p w14:paraId="1C3578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4.蛋白质</w:t>
            </w:r>
          </w:p>
          <w:p w14:paraId="4FA82C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5.膳食纤维</w:t>
            </w:r>
          </w:p>
          <w:p w14:paraId="6F2C68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6.维生素</w:t>
            </w:r>
          </w:p>
          <w:p w14:paraId="15CAF6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7.无机盐</w:t>
            </w:r>
          </w:p>
          <w:p w14:paraId="7C88F8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8.烟、酒、咖啡和茶</w:t>
            </w:r>
          </w:p>
          <w:p w14:paraId="3CCFE3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9.不良饮食习惯和生活方式 </w:t>
            </w:r>
          </w:p>
          <w:p w14:paraId="58599E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(二)营养防治</w:t>
            </w:r>
          </w:p>
          <w:p w14:paraId="2C34A5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膳食因素与冠心病的发病关系密切，对预防冠心病的发生和控制病情的发展十分重要。控制膳食总能量，保持标准体重，减少脂肪、饱和脂肪酸和胆固醇的摄入，限制盐、单糖的摄入，增加不饱和 脂肪酸、膳食纤维和维生素的摄入，可以预防动脉粥样硬化的发生和发展、防止心脑血管并发症、提高生活质量。</w:t>
            </w:r>
          </w:p>
          <w:p w14:paraId="6A5743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1.限制总能量</w:t>
            </w:r>
          </w:p>
          <w:p w14:paraId="4B8290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2.限制脂肪、胆固醇摄入</w:t>
            </w:r>
          </w:p>
          <w:p w14:paraId="3D32D0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3.适量摄入蛋白质</w:t>
            </w:r>
          </w:p>
          <w:p w14:paraId="3C590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4.适量碳水化合物</w:t>
            </w:r>
          </w:p>
          <w:p w14:paraId="4C3ED7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5.增加膳食纤维</w:t>
            </w:r>
          </w:p>
          <w:p w14:paraId="60B16D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6.丰富的维生素和无机盐</w:t>
            </w:r>
          </w:p>
          <w:p w14:paraId="11AE74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7.吃清淡少盐的食物</w:t>
            </w:r>
          </w:p>
          <w:p w14:paraId="0923D0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8.健康生活方式</w:t>
            </w:r>
          </w:p>
          <w:p w14:paraId="77F158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9.用药注意</w:t>
            </w:r>
          </w:p>
          <w:p w14:paraId="22D891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(三)膳食指导</w:t>
            </w:r>
          </w:p>
          <w:p w14:paraId="3A6E1C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1.食物选择</w:t>
            </w:r>
          </w:p>
          <w:p w14:paraId="7BB54D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(1)宜用食物：富含优质蛋白和不饱和脂肪酸的食物，如豆类及其制品、深海鱼类、脱脂乳及乳制品以及核桃、杏仁等坚果类；富含维生素和无机盐的瓜果蔬菜类，如苹果、橙、桃等。</w:t>
            </w:r>
          </w:p>
          <w:p w14:paraId="5FEC73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(2)忌(少)用食物：忌用高脂肪的动物性食物，如肥猪肉、肥羊肉、肥鹅等；忌用高胆固醇食物， 如动物的内脏、鱼子、蟹黄等；忌用含反式脂肪酸的食物，包括黄油、甜点；忌用高能量高糖类食物， 如巧克力、蔗糖、各种高糖饮料；忌用刺激性食物，如辣椒、芥末、胡椒、浓咖啡、浓茶等；禁烟限酒。</w:t>
            </w:r>
          </w:p>
          <w:p w14:paraId="0F3B90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2.食谱与营养分析 案例分析：王爷爷，身高1.68m, 体重76kg,被确诊为冠心病。饮食评估： 饮食规律，每日饮少量白酒，喜食油炸食品，水果和蔬菜摄入较少，不喜活动。</w:t>
            </w:r>
          </w:p>
          <w:p w14:paraId="405BEA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每日能量及宏量营养素目标：每日摄入的能量应根据标准体重计算，按84～105kJ/kg(20～    25kcal/kg) 计算每日总能量；蛋白质供能占总能量的15%～20%,脂肪供能占总能量的20%～25%,碳 水化合物供能占总能量的50%～60%。</w:t>
            </w:r>
          </w:p>
          <w:p w14:paraId="645624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标准体重及BMI:</w:t>
            </w:r>
          </w:p>
          <w:p w14:paraId="4F2C7F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标准体重=身高-105=168-105=63(kg)    BMI= 体重/身高²=76/1.68²≈26.93(kg/m²)</w:t>
            </w:r>
          </w:p>
          <w:p w14:paraId="056786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王爷爷体重超重，应限制总能量。 每日能量及宏量营养素需要量：</w:t>
            </w:r>
          </w:p>
          <w:p w14:paraId="5790D0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每日能量需要量=63×(20～25)=1260～1575(kcal)</w:t>
            </w:r>
          </w:p>
          <w:p w14:paraId="634EB3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蛋白质需要量=(1260～1575)×(15%～20%)÷4=47.25～78.75(g)</w:t>
            </w:r>
          </w:p>
          <w:p w14:paraId="710FC7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脂肪需要量=(1260～1575)×(20%～25%)÷9=28～43.75(g)</w:t>
            </w:r>
          </w:p>
          <w:p w14:paraId="657EAC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碳水化合物需要量=(1260~1575)×(50%～60%)÷4=157.5~236.25(g) </w:t>
            </w:r>
          </w:p>
          <w:p w14:paraId="1DE6D4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 营养分析：食谱提供能量6.61MJ（1 581kcal）,蛋白质75g（300kcal,供能占总能量19%），脂肪41g（369kcal，供能占总能量23%），碳水化合物28g（912kcal，供能占总能量57.5%）。</w:t>
            </w:r>
          </w:p>
          <w:p w14:paraId="5D850B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食谱分析：食谱中蛋、乳、瘦肉、鱼、豆制品为冠心病老年人提供了优质蛋白，蔬菜和水果提供充足的维生素、无机盐和膳食纤维。三餐膳食结构主副食、荤素菜搭配合理。这属于低能量、低脂、低胆固醇膳食，能够满足体重76kg，身高1.70m轻体力活动冠心病老年人营养的需要。</w:t>
            </w:r>
          </w:p>
          <w:p w14:paraId="7400D7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四、脑卒中的营养指导</w:t>
            </w:r>
          </w:p>
          <w:p w14:paraId="0CE1E8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脑卒中(stroke) (中医称中风),又称脑血管意外，指脑血管阻塞或破裂引起脑血流障碍和脑组织 结构功能损害的疾病，包括缺血性脑卒中和出血性脑卒中。</w:t>
            </w:r>
          </w:p>
          <w:p w14:paraId="6517A2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(一)营养相关因素</w:t>
            </w:r>
          </w:p>
          <w:p w14:paraId="37EBBF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1. 能量  </w:t>
            </w:r>
          </w:p>
          <w:p w14:paraId="3EFDDA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2.蛋白质和脂肪 </w:t>
            </w:r>
          </w:p>
          <w:p w14:paraId="0B1375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3.碳水化合物 </w:t>
            </w:r>
          </w:p>
          <w:p w14:paraId="5C4593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4.维生素　</w:t>
            </w:r>
          </w:p>
          <w:p w14:paraId="027C8D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5 .无机盐</w:t>
            </w:r>
          </w:p>
          <w:p w14:paraId="59DD44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(二)营养防治</w:t>
            </w:r>
          </w:p>
          <w:p w14:paraId="5198DE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脑卒中营养治疗的目的是全身营养治疗，保护脑功能，促进神经细胞的修复和功能的恢复。在膳食营养供给上要求个体化，即根据患者的病情轻重、有无并发症、能否正常膳食、消化吸收功能、体重、血脂、血糖、电解质等因素，提出不同的膳食营养治疗方案。</w:t>
            </w:r>
          </w:p>
          <w:p w14:paraId="05B3E6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1.急性期 让患者能度过危急阶段，为恢复创造条件。</w:t>
            </w:r>
          </w:p>
          <w:p w14:paraId="274C5E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(1)出现重症者：可采用静脉或肠内营养，保证能量的供给。如采用肠内营养的方式，每日可供给2500ml液体，4～5次/d, 开始可提供米汤、蔗糖，待机体耐受后，可改为混合乳。每日能量达 125～167kJ/kg(30～40kcal/kg),蛋白质1.5～2g/kg,动物蛋白不少于20g,豆类≥30g,脂肪供能占总能量&lt;30%,胆固醇&lt;300mg。</w:t>
            </w:r>
          </w:p>
          <w:p w14:paraId="035D3F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(2)发生昏迷者：提供高能量、高脂肪、高维生素的饮食，使每日蛋白质达90～120g、脂肪100g，碳水化合物300g，能量10.46MJ（2500kcal）,液体量为2500ml。</w:t>
            </w:r>
          </w:p>
          <w:p w14:paraId="50E47E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240" w:firstLineChars="1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（3）超重或肥胖者：需要控制体重，使BMI＜24kg/m2  。</w:t>
            </w:r>
          </w:p>
          <w:p w14:paraId="7E412A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240" w:firstLineChars="1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（4）高血压者：需要控制盐的供给，提供低盐、少盐饮食。</w:t>
            </w:r>
          </w:p>
          <w:p w14:paraId="15A906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2.恢复期  平衡饮食，纠正营养不良或营养失调，促进恢复和防止复发。</w:t>
            </w:r>
          </w:p>
          <w:p w14:paraId="3BBC2D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恢复期的患者一般能自行进食，应根据患者恢复情况，采取不同的营养方式。液体的供给量冬季宜维持在1000-1500ml，夏季则为1500-2000ml，每日能量可自3.35-4.18MJ（800-1000kcal）逐渐过渡至7.53-11.72MJ（1800-2800kcal），注意供给维生素C、维生素K、钙、钾等。</w:t>
            </w:r>
          </w:p>
          <w:p w14:paraId="545E53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超重或肥胖者应提供低盐、低脂、低能量、高维生素、高膳食纤维的饮食；正常体重者，应提供正常能量、低盐、低脂、高维生素、高膳食纤维的饮食，还需要注意补充钙、钾。</w:t>
            </w:r>
          </w:p>
          <w:p w14:paraId="53CA3E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（1）控制能量：能量功能供给量不应超过需要量，超重或肥胖者应根据患者具体情况确定能量供给量及控制体重方案。</w:t>
            </w:r>
          </w:p>
          <w:p w14:paraId="1E8D4A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（2）限制脂肪及胆固醇：脂肪摄入量限制在总能量＜20%，以植物油为主，植物油与动物油脂比例≥2:1，胆固醇300mg/d，若原有高血脂症，动物油脂比例还应适当下调，胆固醇200mg/d。</w:t>
            </w:r>
          </w:p>
          <w:p w14:paraId="4DA79E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适量碳水化合物：碳水化合物提供总能量60%--65%，但急性脑卒中发作时，碳水化合物摄取量≤150-200%/d，同时适当减少单糖（如果糖）和双糖（如燕糖）的摄取，增加膳食纤维摄入量。</w:t>
            </w:r>
          </w:p>
          <w:p w14:paraId="2CE93F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适宜蛋白质：蛋白质可占全日总热量的15%--20%，食量减少动物蛋白摄入，增加植物蛋白摄入，二者比例1:1。</w:t>
            </w:r>
          </w:p>
          <w:p w14:paraId="0593CC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补充无机盐、维生素：每日应摄取足量无机盐和维生素，尤其是钾、镁、硒，对铁的供应应适量调整；维生素B的调整可达50mg/d。此外还应注意烟酸、维生素B、维生素C、维生素E、维生素K、维生素B12、叶酸等的供给。各种维生素和无机盐的摄入量应能满足DRIs的要求。</w:t>
            </w:r>
          </w:p>
          <w:p w14:paraId="093E94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控制钠盐：应控制在3--5g/d。</w:t>
            </w:r>
          </w:p>
          <w:p w14:paraId="0E8E6C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膳食指导</w:t>
            </w:r>
          </w:p>
          <w:p w14:paraId="368F66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食物选择</w:t>
            </w:r>
          </w:p>
          <w:p w14:paraId="55E5AA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宜用食物：可选择富含维生素C的食物；富含膳食纤维的食物；富含碘的食物；优选植物油如豆油、花生油、茶油、芝麻油等。</w:t>
            </w:r>
          </w:p>
          <w:p w14:paraId="057652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忌（少）用食物：少摄入动物脂肪如猪油、牛油、奶油等；少食含胆固醇较高的食物，如蛋黄、鱼子、动物内脏、肥肉等。</w:t>
            </w:r>
          </w:p>
          <w:p w14:paraId="452F06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食谱与营养分析  案例分析：王爷爷，男，73岁，身高1.72m，体重80kg，BMI27.04kg/m2　,属于肥胖患高血压15年，血压165/95mmHg，心率90次/min，每日服用缬沙坦片1片，日常喜食红烧肉，摄入蔬菜水果少，吸烟每日半包，偶饮酒，日常饮食结构不合理；营养评定考虑存在营养失衡、营养过剩。</w:t>
            </w:r>
          </w:p>
          <w:p w14:paraId="50BEE7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【学生】思考、讨论。</w:t>
            </w:r>
          </w:p>
          <w:p w14:paraId="0F01BD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宋体" w:hAnsi="宋体" w:eastAsia="宋体" w:cs="宋体"/>
                <w:color w:val="538135"/>
                <w:kern w:val="2"/>
                <w:sz w:val="24"/>
                <w:szCs w:val="24"/>
                <w:lang w:val="en-US" w:eastAsia="zh-CN" w:bidi="ar"/>
              </w:rPr>
            </w:pPr>
            <w:r>
              <w:rPr>
                <w:rFonts w:hint="eastAsia" w:ascii="Times New Roman" w:hAnsi="Times New Roman"/>
                <w:color w:val="auto"/>
                <w:sz w:val="24"/>
                <w:szCs w:val="24"/>
                <w:lang w:val="en-US" w:eastAsia="zh-CN"/>
              </w:rPr>
              <w:t>请为老年高血压病人、高血脂病人、冠心病病人、脑卒中病人制定营养食谱。</w:t>
            </w:r>
          </w:p>
        </w:tc>
        <w:tc>
          <w:tcPr>
            <w:tcW w:w="1696" w:type="dxa"/>
            <w:tcBorders>
              <w:tl2br w:val="nil"/>
              <w:tr2bl w:val="nil"/>
            </w:tcBorders>
            <w:vAlign w:val="center"/>
          </w:tcPr>
          <w:p w14:paraId="2B47804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从案例导入引入老年常见慢病，然后从营养相关因素、营养防治、膳食指导等三个方面讲解老年常见慢病的营养特点，最后案例分析着手，为病人制定食谱，并对食谱进行分析，</w:t>
            </w:r>
            <w:r>
              <w:rPr>
                <w:rFonts w:hint="eastAsia" w:ascii="Times New Roman" w:hAnsi="Times New Roman"/>
                <w:b/>
                <w:sz w:val="24"/>
                <w:szCs w:val="24"/>
                <w:lang w:eastAsia="zh-CN"/>
              </w:rPr>
              <w:t>从而</w:t>
            </w:r>
            <w:r>
              <w:rPr>
                <w:rFonts w:hint="eastAsia" w:ascii="Times New Roman" w:hAnsi="Times New Roman"/>
                <w:b/>
                <w:sz w:val="24"/>
                <w:szCs w:val="24"/>
                <w:lang w:val="en-US" w:eastAsia="zh-CN"/>
              </w:rPr>
              <w:t>让学生在真实的工作情境中掌握了老年常见慢病的营养学知识，</w:t>
            </w:r>
            <w:r>
              <w:rPr>
                <w:rFonts w:hint="eastAsia" w:ascii="Times New Roman" w:hAnsi="Times New Roman"/>
                <w:b/>
                <w:sz w:val="24"/>
                <w:szCs w:val="24"/>
              </w:rPr>
              <w:t>激发学生的学习欲望</w:t>
            </w:r>
            <w:r>
              <w:rPr>
                <w:rFonts w:hint="eastAsia" w:ascii="Times New Roman" w:hAnsi="Times New Roman"/>
                <w:b/>
                <w:sz w:val="24"/>
                <w:szCs w:val="24"/>
                <w:lang w:eastAsia="zh-CN"/>
              </w:rPr>
              <w:t>，</w:t>
            </w:r>
            <w:r>
              <w:rPr>
                <w:rFonts w:hint="eastAsia" w:ascii="Times New Roman" w:hAnsi="Times New Roman"/>
                <w:b/>
                <w:sz w:val="24"/>
                <w:szCs w:val="24"/>
                <w:lang w:val="en-US" w:eastAsia="zh-CN"/>
              </w:rPr>
              <w:t>培养了学生的职业素养</w:t>
            </w:r>
            <w:r>
              <w:rPr>
                <w:rFonts w:hint="eastAsia" w:ascii="Times New Roman" w:hAnsi="Times New Roman"/>
                <w:b/>
                <w:sz w:val="24"/>
                <w:szCs w:val="24"/>
              </w:rPr>
              <w:t>。</w:t>
            </w:r>
          </w:p>
        </w:tc>
      </w:tr>
      <w:tr w14:paraId="392EECB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F8BB64B">
            <w:pPr>
              <w:keepNext w:val="0"/>
              <w:keepLines w:val="0"/>
              <w:suppressLineNumbers w:val="0"/>
              <w:spacing w:before="0" w:beforeAutospacing="0" w:after="0" w:afterAutospacing="0" w:line="360" w:lineRule="auto"/>
              <w:ind w:left="0" w:leftChars="0" w:right="0" w:rightChars="0" w:hanging="8" w:firstLineChars="0"/>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701E05FE">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2F473165">
            <w:pPr>
              <w:keepNext w:val="0"/>
              <w:keepLines w:val="0"/>
              <w:suppressLineNumbers w:val="0"/>
              <w:spacing w:before="0" w:beforeAutospacing="0" w:after="0" w:afterAutospacing="0" w:line="360" w:lineRule="auto"/>
              <w:ind w:left="0" w:leftChars="0" w:right="0" w:rightChars="0" w:firstLine="480" w:firstLineChars="200"/>
              <w:rPr>
                <w:rFonts w:hint="eastAsia" w:hAnsi="宋体" w:eastAsia="宋体"/>
                <w:bCs/>
                <w:sz w:val="24"/>
                <w:szCs w:val="24"/>
                <w:lang w:eastAsia="zh-CN"/>
              </w:rPr>
            </w:pPr>
            <w:r>
              <w:rPr>
                <w:rFonts w:hint="eastAsia" w:ascii="Times New Roman" w:hAnsi="Times New Roman"/>
                <w:color w:val="auto"/>
                <w:sz w:val="24"/>
                <w:szCs w:val="24"/>
                <w:lang w:val="en-US" w:eastAsia="zh-CN"/>
              </w:rPr>
              <w:t>请为老年高血压病人、高血脂病人、冠心病病人、脑卒中病人各自制定一份营养食谱。</w:t>
            </w:r>
          </w:p>
        </w:tc>
        <w:tc>
          <w:tcPr>
            <w:tcW w:w="1696" w:type="dxa"/>
            <w:tcBorders>
              <w:tl2br w:val="nil"/>
              <w:tr2bl w:val="nil"/>
            </w:tcBorders>
            <w:vAlign w:val="center"/>
          </w:tcPr>
          <w:p w14:paraId="74A43886">
            <w:pPr>
              <w:keepNext w:val="0"/>
              <w:keepLines w:val="0"/>
              <w:suppressLineNumbers w:val="0"/>
              <w:spacing w:before="0" w:beforeAutospacing="0" w:after="0" w:afterAutospacing="0" w:line="360" w:lineRule="auto"/>
              <w:ind w:left="0" w:leftChars="0" w:right="0" w:rightChars="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00A11FC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3C947B9D">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0B7041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4</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64CF925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lang w:val="en-US"/>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E8D2A2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Times New Roman" w:hAnsi="Times New Roman" w:eastAsia="宋体" w:cs="Times New Roman"/>
                <w:b/>
                <w:bCs w:val="0"/>
                <w:kern w:val="2"/>
                <w:sz w:val="24"/>
                <w:szCs w:val="24"/>
                <w:lang w:val="en-US" w:eastAsia="zh-CN" w:bidi="ar-SA"/>
              </w:rPr>
            </w:pPr>
            <w:r>
              <w:rPr>
                <w:rFonts w:hint="eastAsia" w:ascii="Times New Roman" w:hAnsi="Times New Roman"/>
                <w:color w:val="auto"/>
                <w:sz w:val="24"/>
                <w:szCs w:val="24"/>
                <w:lang w:val="en-US" w:eastAsia="zh-CN"/>
              </w:rPr>
              <w:t>老年高血压病人、高血脂病人、冠心病病人、脑卒中病人的相关营养因素有哪些？</w:t>
            </w:r>
          </w:p>
        </w:tc>
        <w:tc>
          <w:tcPr>
            <w:tcW w:w="1696" w:type="dxa"/>
            <w:tcBorders>
              <w:tl2br w:val="nil"/>
              <w:tr2bl w:val="nil"/>
            </w:tcBorders>
            <w:vAlign w:val="center"/>
          </w:tcPr>
          <w:p w14:paraId="04E37D9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7B8ADF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E5B672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023B54B0">
            <w:pPr>
              <w:keepNext w:val="0"/>
              <w:keepLines w:val="0"/>
              <w:suppressLineNumbers w:val="0"/>
              <w:spacing w:before="0" w:beforeAutospacing="0" w:after="0" w:afterAutospacing="0" w:line="360" w:lineRule="auto"/>
              <w:ind w:left="0" w:right="0"/>
              <w:rPr>
                <w:rFonts w:hint="eastAsia" w:ascii="Times New Roman" w:hAnsi="Times New Roman" w:eastAsia="宋体"/>
                <w:sz w:val="24"/>
                <w:szCs w:val="24"/>
                <w:lang w:eastAsia="zh-CN"/>
              </w:rPr>
            </w:pPr>
            <w:r>
              <w:rPr>
                <w:rFonts w:hint="eastAsia" w:ascii="Times New Roman" w:hAnsi="Times New Roman"/>
                <w:sz w:val="24"/>
                <w:szCs w:val="24"/>
                <w:lang w:val="en-US" w:eastAsia="zh-CN"/>
              </w:rPr>
              <w:t>利用典型案例教学，</w:t>
            </w:r>
            <w:r>
              <w:rPr>
                <w:rFonts w:hint="default" w:ascii="Times New Roman" w:hAnsi="Times New Roman"/>
                <w:sz w:val="24"/>
                <w:szCs w:val="24"/>
              </w:rPr>
              <w:t>巧用启发思维，让</w:t>
            </w:r>
            <w:r>
              <w:rPr>
                <w:rFonts w:hint="eastAsia" w:ascii="Times New Roman" w:hAnsi="Times New Roman"/>
                <w:sz w:val="24"/>
                <w:szCs w:val="24"/>
                <w:lang w:val="en-US" w:eastAsia="zh-CN"/>
              </w:rPr>
              <w:t>学生</w:t>
            </w:r>
            <w:r>
              <w:rPr>
                <w:rFonts w:hint="default" w:ascii="Times New Roman" w:hAnsi="Times New Roman"/>
                <w:sz w:val="24"/>
                <w:szCs w:val="24"/>
              </w:rPr>
              <w:t>能体会到举一反三，做到有所领悟和创新，掌握</w:t>
            </w:r>
            <w:r>
              <w:rPr>
                <w:rFonts w:hint="eastAsia" w:ascii="Times New Roman" w:hAnsi="Times New Roman"/>
                <w:sz w:val="24"/>
                <w:szCs w:val="24"/>
                <w:lang w:val="en-US" w:eastAsia="zh-CN"/>
              </w:rPr>
              <w:t>各种老年慢病的营养护理</w:t>
            </w:r>
            <w:r>
              <w:rPr>
                <w:rFonts w:hint="default" w:ascii="Times New Roman" w:hAnsi="Times New Roman"/>
                <w:sz w:val="24"/>
                <w:szCs w:val="24"/>
              </w:rPr>
              <w:t>的</w:t>
            </w:r>
            <w:r>
              <w:rPr>
                <w:rFonts w:hint="eastAsia" w:ascii="Times New Roman" w:hAnsi="Times New Roman"/>
                <w:sz w:val="24"/>
                <w:szCs w:val="24"/>
                <w:lang w:val="en-US" w:eastAsia="zh-CN"/>
              </w:rPr>
              <w:t>知识和技能。</w:t>
            </w:r>
          </w:p>
        </w:tc>
      </w:tr>
      <w:tr w14:paraId="1604085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65262A37">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9766CE0">
            <w:pPr>
              <w:keepNext w:val="0"/>
              <w:keepLines w:val="0"/>
              <w:suppressLineNumbers w:val="0"/>
              <w:spacing w:before="0" w:beforeAutospacing="0" w:after="0" w:afterAutospacing="0" w:line="360" w:lineRule="auto"/>
              <w:ind w:left="0" w:right="0"/>
              <w:jc w:val="center"/>
              <w:rPr>
                <w:rFonts w:hint="eastAsia" w:ascii="Times New Roman" w:hAnsi="Times New Roman" w:eastAsia="宋体"/>
                <w:b/>
                <w:bCs w:val="0"/>
                <w:color w:val="FFFFFF" w:themeColor="background1"/>
                <w:sz w:val="24"/>
                <w:szCs w:val="24"/>
                <w:lang w:eastAsia="zh-CN"/>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r>
              <w:rPr>
                <w:rFonts w:hint="eastAsia" w:ascii="Times New Roman" w:hAnsi="Times New Roman"/>
                <w:b/>
                <w:bCs w:val="0"/>
                <w:color w:val="FFFFFF" w:themeColor="background1"/>
                <w:sz w:val="24"/>
                <w:szCs w:val="24"/>
                <w:lang w:eastAsia="zh-CN"/>
                <w14:textFill>
                  <w14:solidFill>
                    <w14:schemeClr w14:val="bg1"/>
                  </w14:solidFill>
                </w14:textFill>
              </w:rPr>
              <w:t>（</w:t>
            </w:r>
            <w:r>
              <w:rPr>
                <w:rFonts w:hint="eastAsia" w:ascii="Times New Roman" w:hAnsi="Times New Roman"/>
                <w:b/>
                <w:bCs w:val="0"/>
                <w:color w:val="FFFFFF" w:themeColor="background1"/>
                <w:sz w:val="24"/>
                <w:szCs w:val="24"/>
                <w:lang w:val="en-US" w:eastAsia="zh-CN"/>
                <w14:textFill>
                  <w14:solidFill>
                    <w14:schemeClr w14:val="bg1"/>
                  </w14:solidFill>
                </w14:textFill>
              </w:rPr>
              <w:t>3.4课时</w:t>
            </w:r>
            <w:r>
              <w:rPr>
                <w:rFonts w:hint="eastAsia" w:ascii="Times New Roman" w:hAnsi="Times New Roman"/>
                <w:b/>
                <w:bCs w:val="0"/>
                <w:color w:val="FFFFFF" w:themeColor="background1"/>
                <w:sz w:val="24"/>
                <w:szCs w:val="24"/>
                <w:lang w:eastAsia="zh-CN"/>
                <w14:textFill>
                  <w14:solidFill>
                    <w14:schemeClr w14:val="bg1"/>
                  </w14:solidFill>
                </w14:textFill>
              </w:rPr>
              <w:t>）</w:t>
            </w:r>
          </w:p>
        </w:tc>
        <w:tc>
          <w:tcPr>
            <w:tcW w:w="1696" w:type="dxa"/>
            <w:tcBorders>
              <w:tl2br w:val="nil"/>
              <w:tr2bl w:val="nil"/>
            </w:tcBorders>
            <w:shd w:val="clear" w:color="auto" w:fill="A878D4"/>
            <w:vAlign w:val="center"/>
          </w:tcPr>
          <w:p w14:paraId="6B7DDD9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7D9E47F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8CC0B4C">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044FFE9F">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3min</w:t>
            </w:r>
            <w:r>
              <w:rPr>
                <w:rFonts w:hint="eastAsia" w:ascii="Times New Roman" w:hAnsi="Times New Roman"/>
                <w:b/>
                <w:sz w:val="24"/>
                <w:szCs w:val="24"/>
                <w:lang w:eastAsia="zh-CN"/>
              </w:rPr>
              <w:t>）</w:t>
            </w:r>
          </w:p>
        </w:tc>
        <w:tc>
          <w:tcPr>
            <w:tcW w:w="7208" w:type="dxa"/>
            <w:tcBorders>
              <w:tl2br w:val="nil"/>
              <w:tr2bl w:val="nil"/>
            </w:tcBorders>
            <w:vAlign w:val="center"/>
          </w:tcPr>
          <w:p w14:paraId="4EF90B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6A8EBF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548235" w:themeColor="accent6" w:themeShade="BF"/>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p w14:paraId="64F9EE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548235" w:themeColor="accent6" w:themeShade="BF"/>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lang w:val="en-US" w:eastAsia="zh-CN"/>
              </w:rPr>
              <w:t>提问，回顾相关基础知识，导入即将学习的新知识</w:t>
            </w:r>
          </w:p>
        </w:tc>
        <w:tc>
          <w:tcPr>
            <w:tcW w:w="1696" w:type="dxa"/>
            <w:tcBorders>
              <w:tl2br w:val="nil"/>
              <w:tr2bl w:val="nil"/>
            </w:tcBorders>
            <w:vAlign w:val="center"/>
          </w:tcPr>
          <w:p w14:paraId="4C4F18AD">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23767A7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87DD10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4D472F9">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80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252D6DE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五、糖尿病的营养指导</w:t>
            </w:r>
          </w:p>
          <w:p w14:paraId="36415B5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糖尿病(diabetes mellitus,DM)是遗传因素和环境因素长期共同作用所引起的慢性、全身性及代谢性疾病。糖尿病因胰岛素分泌不足或胰岛素作用障碍引起内分泌失调，可出现糖耐量降低，并伴有血糖、尿糖升高为主要特点的碳水化合物、脂肪、蛋白质、水与电解质等代谢紊乱。糖尿病典型的临床表现有“三多一少”(多食、多饮、多尿及体重减少),以及皮肤瘙痒、四肢酸痛、 乏力，可造成眼、肾、脑、心脏等重要器官及神经、血管多系统慢性损害，病情严重时可发生酮症酸中毒、高渗高血糖综合征、急性代谢紊乱，甚至威胁生命。</w:t>
            </w:r>
          </w:p>
          <w:p w14:paraId="0937F81E">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(一)营养相关因素</w:t>
            </w:r>
          </w:p>
          <w:p w14:paraId="49C556C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1.能量 </w:t>
            </w:r>
          </w:p>
          <w:p w14:paraId="6BDBEB1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2.碳水化合物</w:t>
            </w:r>
          </w:p>
          <w:p w14:paraId="3D89B88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3.脂类 </w:t>
            </w:r>
          </w:p>
          <w:p w14:paraId="402E57D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4.蛋白质</w:t>
            </w:r>
          </w:p>
          <w:p w14:paraId="2DE5089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5.维生素 　　</w:t>
            </w:r>
          </w:p>
          <w:p w14:paraId="7452AA2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6.无机盐 </w:t>
            </w:r>
          </w:p>
          <w:p w14:paraId="57DEDC5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7.膳食纤维 </w:t>
            </w:r>
          </w:p>
          <w:p w14:paraId="4C8991BB">
            <w:pPr>
              <w:keepNext w:val="0"/>
              <w:keepLines w:val="0"/>
              <w:widowControl w:val="0"/>
              <w:suppressLineNumbers w:val="0"/>
              <w:spacing w:before="0" w:beforeAutospacing="0" w:after="0" w:afterAutospacing="0" w:line="360" w:lineRule="auto"/>
              <w:ind w:left="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(二)营养防治</w:t>
            </w:r>
          </w:p>
          <w:p w14:paraId="52ED19A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糖尿病营养治疗是一项重要的基础治疗措施，应该长期严格执行。对于1型糖尿病患者而言，在合适的总能量、食物成分，规律的餐次安排等措施基础上，配合胰 岛素治疗，有利于控制高血糖，防止低血糖，防止各种并发症的发生。</w:t>
            </w:r>
          </w:p>
          <w:p w14:paraId="6A68D6D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对于2型糖尿病患者，尤其是肥胖或超重的患者，营养防治有利于减轻体重。肥胖患者减重后可以改善胰岛素抵抗，有利于血糖控制。</w:t>
            </w:r>
          </w:p>
          <w:p w14:paraId="4E64B20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1.合理控制能量摄入 </w:t>
            </w:r>
          </w:p>
          <w:p w14:paraId="7375184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2.控制碳水化合物摄入 </w:t>
            </w:r>
          </w:p>
          <w:p w14:paraId="27B640B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3.适当增加蛋白质摄入量  蛋白质的供能应占总能量的15%～20%。</w:t>
            </w:r>
          </w:p>
          <w:p w14:paraId="22F4E0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4.限制脂肪和胆固醇摄入  </w:t>
            </w:r>
          </w:p>
          <w:p w14:paraId="5D37132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5.丰富的维生素和无机盐 　　</w:t>
            </w:r>
          </w:p>
          <w:p w14:paraId="35C1010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6.增加膳食纤维 　　</w:t>
            </w:r>
          </w:p>
          <w:p w14:paraId="5173E53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7.合理的餐次 </w:t>
            </w:r>
          </w:p>
          <w:p w14:paraId="0BF22CEB">
            <w:pPr>
              <w:keepNext w:val="0"/>
              <w:keepLines w:val="0"/>
              <w:widowControl w:val="0"/>
              <w:suppressLineNumbers w:val="0"/>
              <w:spacing w:before="0" w:beforeAutospacing="0" w:after="0" w:afterAutospacing="0" w:line="360" w:lineRule="auto"/>
              <w:ind w:left="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8.禁烟戒酒 </w:t>
            </w:r>
          </w:p>
          <w:p w14:paraId="317E804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9.用药注意 </w:t>
            </w:r>
          </w:p>
          <w:p w14:paraId="5953B2E3">
            <w:pPr>
              <w:keepNext w:val="0"/>
              <w:keepLines w:val="0"/>
              <w:widowControl w:val="0"/>
              <w:suppressLineNumbers w:val="0"/>
              <w:spacing w:before="0" w:beforeAutospacing="0" w:after="0" w:afterAutospacing="0" w:line="360" w:lineRule="auto"/>
              <w:ind w:left="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 (三)膳食指导</w:t>
            </w:r>
          </w:p>
          <w:p w14:paraId="1BAA3E9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1.食物选择</w:t>
            </w:r>
          </w:p>
          <w:p w14:paraId="0D9591F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(1)宜用食物：低血糖指数(GI&lt;55)  食物，如粗加工的粮谷类食物玉米、大麦、荞麦等；杂豆如绿豆、红豆、扁豆等；薯类如甘薯、马铃薯、山药等；大豆类及其制品如黄豆、黑豆、青豆等；含糖量低的蔬菜和水果如黄瓜、李子、樱桃、柚子等。宜用粗粮替代部分精加工的米面，如可选用燕麦、荞麦、玉米面、豆面等代替部分稻米和面粉，或做成杂粮饭、杂粮面食。</w:t>
            </w:r>
          </w:p>
          <w:p w14:paraId="464619B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忌(少)用的食物：不宜摄入含精制糖的食物，如白糖、红糖、甜点心、蜜饯、雪糕、甜饮料等。不宜摄入动物脂肪含量高的食物，如肥肉、禽肉皮、动物内脏、鱼子、带鱼、蛋黄、猪油等。减少使用油炸或腌制的食物；忌烟酒。</w:t>
            </w:r>
          </w:p>
          <w:p w14:paraId="041A591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2.食谱与营养分析  案例分析：王奶奶，68岁，身高1.65m, 体重71kg, 患有2型糖尿病5年，血脂、血压均正常，未见糖尿病并发症。须为王奶奶进行糖尿病膳食指导。</w:t>
            </w:r>
          </w:p>
          <w:p w14:paraId="5D73C94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确定每日能量：根据患者年龄、性别、身高、体重、体力活动强度等信息，计算标准体重，参考表7-6计算出所需能量。</w:t>
            </w:r>
          </w:p>
          <w:p w14:paraId="214AC1D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标准体重=身高-105=165-105=60(kg)</w:t>
            </w:r>
          </w:p>
          <w:p w14:paraId="068A012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是否超重：标准体重60kg, 实际体重71kg,(71-60)÷60×100%≈18.3%，超重；或者BMI=71/1.65²≈26.08(kg/m²),超重。</w:t>
            </w:r>
          </w:p>
          <w:p w14:paraId="4F0BDD3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每日能量：查表7-6,轻体力活动肥胖或超重者每日所需能量为84～105kJ/kg(20～25kcal/kg)。 每日能量需要量=60×(20～25)=1200～1500(kcal)</w:t>
            </w:r>
          </w:p>
          <w:p w14:paraId="1DC91F6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蛋白质、脂肪、碳水化合物供给量：患者血糖和尿糖偏高，蛋白质、脂肪、碳水化合物分别占总能量的18%、27%、55%。它们的供能系数分别是4kcal/g、4kcal/g、9kcal/g。</w:t>
            </w:r>
          </w:p>
          <w:p w14:paraId="724FDFC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蛋白质供给量=(1200～1500)×18%÷4=54～67.5(g)</w:t>
            </w:r>
          </w:p>
          <w:p w14:paraId="1FE743B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脂肪供给量=(1200～1500)×27%÷9=36～45(g)</w:t>
            </w:r>
          </w:p>
          <w:p w14:paraId="4AEC4FA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碳水化合物供给量=(1200～1500)×55%÷4=165～206.05(g)</w:t>
            </w:r>
          </w:p>
          <w:p w14:paraId="5B69270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 按食物份法确定各类食物份数：</w:t>
            </w:r>
          </w:p>
          <w:p w14:paraId="75626AA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碳水化合物类份数=(1200～1500)×55%÷90≈7～9(份)</w:t>
            </w:r>
          </w:p>
          <w:p w14:paraId="4E25206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脂肪类份数=(1200～1500)×27%÷90≈3.5～4.5(份)</w:t>
            </w:r>
          </w:p>
          <w:p w14:paraId="2889408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蛋白质类份数=(1200～1500)×18%÷50≈4～5(份)</w:t>
            </w:r>
          </w:p>
          <w:p w14:paraId="21AACF1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水果类=0.5份 蔬菜类=1份</w:t>
            </w:r>
          </w:p>
          <w:p w14:paraId="798D7D1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根据本例患者的饮食习惯和病情分配餐次，各类食物按摄入量分配到三餐中，早、午、晚餐比例 为1/5、2/5、2/5。</w:t>
            </w:r>
          </w:p>
          <w:p w14:paraId="0CD3376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常用食物成分表、食物交换份法计算各种食物用量和配膳，具体可参考食谱编制相关内容。</w:t>
            </w:r>
          </w:p>
          <w:p w14:paraId="0CBF1C7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食物成分表计算法计算数据较准确，但较烦琐，糖尿病老年人在家不易操作。目前有多种与食谱编制相关的电脑软件，采用电脑配餐方便，快捷。</w:t>
            </w:r>
          </w:p>
          <w:p w14:paraId="33819E6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营养分析：食谱提供能量5.91MJ(1413kcal),蛋白质60g(240kcal,供能占总能量17%),脂肪 45g(405kcal,供能占总能量28.9%),碳水化合物192g(516kcal,供能占总能量54.3%)。</w:t>
            </w:r>
          </w:p>
          <w:p w14:paraId="0FFEE54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食谱分析：食谱中蛋、乳、瘦肉、鱼、豆制品为患者提供了优质蛋白，蔬菜和水果提供了足量的维生素、无机盐和膳食纤维。三餐膳食结构主副食、荤素菜搭配合理。为预防夜间低血糖，加餐牛乳 燕麦，可助眠。食谱中提供的营养素和膳食结构符合王奶奶身体状况对营养的需要并达到饮食控制目标。</w:t>
            </w:r>
          </w:p>
          <w:p w14:paraId="4D706A2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(四)特殊情况及并发症处理</w:t>
            </w:r>
          </w:p>
          <w:p w14:paraId="12E28B6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1.糖尿病低血糖反应  正常成人空腹血糖为3.9～5.6mmol/L,低于3.5mmol/L为低血糖。糖尿病老年人容易出现低血糖，使用胰岛素的患者最常见。导致低血糖的原因与胰岛素过量、口服降血糖药物过量、膳食过少或运动突然增多未及时进食等相关。主要症状是心慌、出汗、头晕、饥饿、烦躁、手抖、全身无力，严重时可致神志不清、精神抑郁、全身抽搐，甚至昏迷等。</w:t>
            </w:r>
          </w:p>
          <w:p w14:paraId="3781874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营养治疗主要原则：</w:t>
            </w:r>
          </w:p>
          <w:p w14:paraId="1E7FCBED">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(1)症状轻、神志清醒者，取葡萄糖或蔗糖20～50g, 用温开水冲服，几分钟后症状消失；如症状稍重，除饮糖水外，再进食馒头、饼干或面包等25g,或水果一个，十几分钟后症状可消失。</w:t>
            </w:r>
          </w:p>
          <w:p w14:paraId="6955CC2F">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(2)病情严重、神志不清者，应立即送医院抢救，静脉输注葡萄糖。注射长效胰岛素者，除进食葡萄糖或蔗糖外，还需进食牛乳、鸡蛋等吸收较慢的食物，避免反复出现低血糖反应。饮酒后容易发生 低血糖，因此，糖尿病老年人应少饮酒或戒酒。</w:t>
            </w:r>
          </w:p>
          <w:p w14:paraId="5B82A0F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 .糖尿病肾病 是糖尿病严重的微血管并发症。患者除糖尿病症状外，还有肾功能不全的表现。其临床特征是持续蛋白尿、高血压、氮质血症和水钠潴留等，严重者可发生尿毒症。</w:t>
            </w:r>
          </w:p>
          <w:p w14:paraId="20E7A84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营养治疗主要原则：</w:t>
            </w:r>
          </w:p>
          <w:p w14:paraId="31AAFB1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(1)能量供给量应满足机体的需要，必要时可由静脉补充。</w:t>
            </w:r>
          </w:p>
          <w:p w14:paraId="35A7245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(2)蛋白质供给量适当限制，应根据尿量、尿蛋白丢失情况和氮质血症严重程度确定蛋白质供给量，早期患者蛋白质供给量应控制在0.8～1.0g/(kg·d), 晚期出现尿素氮潴留时，降为0.5g/(kg·d) 。 宜采用含优质蛋白的动物性食物，如乳类、蛋类、瘦肉等，少用植物性食品，如谷类、豆类。可用麦淀粉、藕粉等淀粉类低(无)蛋白质食物代替部分米、面等主食。</w:t>
            </w:r>
          </w:p>
          <w:p w14:paraId="2373CDE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(3)限制钠盐摄入食盐应控制在2g/d 左右，或更低些，根据病情补钾。</w:t>
            </w:r>
          </w:p>
          <w:p w14:paraId="58E6ABF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六、 肥胖症的营养指导</w:t>
            </w:r>
          </w:p>
          <w:p w14:paraId="55D05D2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肥胖症指体内脂肪储存过多或分布异常，以体重增加为特点的慢性代谢异常疾病，表 现为脂肪细胞体积增大或脂肪细胞数目增多。</w:t>
            </w:r>
          </w:p>
          <w:p w14:paraId="59CE00A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(一)营养相关因素</w:t>
            </w:r>
          </w:p>
          <w:p w14:paraId="24177B3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 .能量 　　</w:t>
            </w:r>
          </w:p>
          <w:p w14:paraId="4FB28B2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2.碳水化合物 </w:t>
            </w:r>
          </w:p>
          <w:p w14:paraId="06F3F21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 .脂肪 　　</w:t>
            </w:r>
          </w:p>
          <w:p w14:paraId="0F6916E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4.蛋白质</w:t>
            </w:r>
          </w:p>
          <w:p w14:paraId="167BB33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5.维生素和无机盐 　　</w:t>
            </w:r>
          </w:p>
          <w:p w14:paraId="602F4E3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6.水  　　</w:t>
            </w:r>
          </w:p>
          <w:p w14:paraId="5CDDA98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7.膳食纤维</w:t>
            </w:r>
          </w:p>
          <w:p w14:paraId="0F979E5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(二)营养防治</w:t>
            </w:r>
          </w:p>
          <w:p w14:paraId="32A58F9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1.限制能量 应长期坚持控制能量，通过科学运动增加体能消耗，促进体脂分解，预防肥胖比减重更有意义，同时又能维持身心健康。</w:t>
            </w:r>
          </w:p>
          <w:p w14:paraId="20FC591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2.限制脂肪和胆固醇 脂肪应占总能量的20%～25%。膳食胆固醇供给量应少于300mg/d。烹调油控制在10～20g/d, 可选用含不饱和脂肪酸的油脂。</w:t>
            </w:r>
          </w:p>
          <w:p w14:paraId="5F9588D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3.限制碳水化合物  碳水化合物摄入量应占总能量的45%～60%。摄入过低易产生酮症，过高会影响蛋白质的摄入，尽量少用或不用富含精制糖的食物。</w:t>
            </w:r>
          </w:p>
          <w:p w14:paraId="35E8FC2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4.适量的蛋白质  肥胖老年人由于限制能量摄入，会引起机体组织蛋白分解，易发生蛋白质营养不良，故应提高膳食中优质蛋白的比例。　　</w:t>
            </w:r>
          </w:p>
          <w:p w14:paraId="7A299CB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5.丰富的维生素和无机盐 充足的维生素和各种无机盐供给比例均衡，是保证体内能量正常代谢和消耗的关键。必要时可适量补充维生素和无机盐制剂，以防缺乏。</w:t>
            </w:r>
          </w:p>
          <w:p w14:paraId="5662CCE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6.充足的膳食纤维  应合理增加膳食纤维的摄入量，保证膳食纤维摄入35g/d 左右。</w:t>
            </w:r>
          </w:p>
          <w:p w14:paraId="2BDC404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7.改变不良的饮食习惯和行为  </w:t>
            </w:r>
          </w:p>
          <w:p w14:paraId="18E5C80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(三)膳食指导</w:t>
            </w:r>
          </w:p>
          <w:p w14:paraId="3881892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1.食物选择</w:t>
            </w:r>
          </w:p>
          <w:p w14:paraId="70CE134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(1)宜选用食物：各种粮谷类粗细搭配，增加膳食纤维，减少脂肪、胆固醇的吸收；各种低脂肪的瘦肉、鱼、豆、乳、蛋类。适量增加蔬菜和水果，水果以水分多、能量低者为宜。</w:t>
            </w:r>
          </w:p>
          <w:p w14:paraId="173995D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(2)少选或忌用食物：富含饱和脂肪酸的各类食物，如肥肉、猪油、羊油、动物内脏等，以及各类油炸、煎、烤的食物；各种糕点、含糖饮料、零食和酒类。</w:t>
            </w:r>
          </w:p>
          <w:p w14:paraId="404C2B9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2.食谱与营养分析 案例分析：王奶奶，68岁，身高1.58m, 体重76kg,属于中度肥胖。王奶奶活动后有关节疼痛、气喘等症状，表明身体承重负荷过大，需要科学控制饮食，减轻体重，预防因肥胖引起的其他疾病。</w:t>
            </w:r>
          </w:p>
          <w:p w14:paraId="6E7F290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推荐低能量、低脂肪、富含无机盐、维生素和膳食纤维膳食。 </w:t>
            </w:r>
          </w:p>
          <w:p w14:paraId="5747D15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标准体重及BMI:</w:t>
            </w:r>
          </w:p>
          <w:p w14:paraId="009D92E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标准体重=身高-105=158-105=53(kg)</w:t>
            </w:r>
          </w:p>
          <w:p w14:paraId="64FCA0C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BMI= 体重/身高²=76/1.58²≈30.44(kg/m²)</w:t>
            </w:r>
          </w:p>
          <w:p w14:paraId="7259E64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每日能量及宏量营养素需要量：</w:t>
            </w:r>
          </w:p>
          <w:p w14:paraId="3CA855B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每日能量需要量=53×(20～25)=1060～1325(kcal)</w:t>
            </w:r>
          </w:p>
          <w:p w14:paraId="7E664FE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蛋白质需要量=(1060～1325)×(20%～30%)÷4≈53～99.38(g)</w:t>
            </w:r>
          </w:p>
          <w:p w14:paraId="660238E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脂肪需要量=(1060~1325)×(20%～25%)÷9≈23.56～36.81(g)</w:t>
            </w:r>
          </w:p>
          <w:p w14:paraId="044B679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碳水化合物需要量=(1060～1325)×(45%～60%)÷4=119.25～198.75(g)</w:t>
            </w:r>
          </w:p>
          <w:p w14:paraId="385B014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营养分析：食谱提供能量4.77MJ(1143kcal),蛋白质58g(234kcal,供能占总能量20.5%),脂肪 31g(279kcal,供能占总能量24.5%),碳水化合物158g(630kcal,供能占总能量55%)。</w:t>
            </w:r>
          </w:p>
          <w:p w14:paraId="2ADEA86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食谱分析：食谱中蛋、乳、瘦肉、鱼、豆制品为肥胖老年人提供优质蛋白，蔬菜和水果提供充足的 维生素、无机盐和膳食纤维。膳食结构主副食、荤素菜搭配合理。食谱低能量、低脂肪、低胆固醇，优 质蛋白充足，能够满足减重老年人营养需要，并可以有效控制能量摄入过多。</w:t>
            </w:r>
          </w:p>
          <w:p w14:paraId="229660E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七、癌症的营养指导</w:t>
            </w:r>
          </w:p>
          <w:p w14:paraId="30D0ABE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恶性肿瘤(malignant tumor)是机体在内因与外因的长期作用下，某些组织细胞异常增生而形成的新生物。恶性肿瘤的主要原因包括吸烟、长期大量饮酒、食品添加剂、环境污染、职业暴露及不良的膳食生活方式等。营养素摄入不足、过量及比例失衡均有可能促进癌症的发生。恶性肿瘤患者的营养治疗已成为恶性肿瘤多学科综合治疗的重要组成部分。</w:t>
            </w:r>
          </w:p>
          <w:p w14:paraId="78424AC8">
            <w:pPr>
              <w:keepNext w:val="0"/>
              <w:keepLines w:val="0"/>
              <w:widowControl w:val="0"/>
              <w:suppressLineNumbers w:val="0"/>
              <w:spacing w:before="0" w:beforeAutospacing="0" w:after="0" w:afterAutospacing="0" w:line="360" w:lineRule="auto"/>
              <w:ind w:left="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（一）营养相关因素</w:t>
            </w:r>
          </w:p>
          <w:p w14:paraId="4FCF4BD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1.能量  　   </w:t>
            </w:r>
          </w:p>
          <w:p w14:paraId="4B307A6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2.蛋白质 </w:t>
            </w:r>
          </w:p>
          <w:p w14:paraId="43F5794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3.脂肪 　　</w:t>
            </w:r>
          </w:p>
          <w:p w14:paraId="0D7418A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4.碳水化合物</w:t>
            </w:r>
          </w:p>
          <w:p w14:paraId="64DC246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5.维生素 </w:t>
            </w:r>
          </w:p>
          <w:p w14:paraId="32BFBC3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6.无机盐</w:t>
            </w:r>
          </w:p>
          <w:p w14:paraId="0DF00EA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7.膳食纤维 </w:t>
            </w:r>
          </w:p>
          <w:p w14:paraId="1C3BBD2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8.其他  　　</w:t>
            </w:r>
          </w:p>
          <w:p w14:paraId="6AAD25D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(二)营养防治</w:t>
            </w:r>
          </w:p>
          <w:p w14:paraId="6E59123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1.充足的能量  增加能量的摄入，可弥补因代谢增加而消耗的能量及减少体重的丢失。</w:t>
            </w:r>
          </w:p>
          <w:p w14:paraId="610E1E1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2.充足的蛋白质  恶性肿瘤患者常伴有不同程度的蛋白质缺乏，供给足量的优质蛋白，可 组织的修复，提高机体免疫功能。 </w:t>
            </w:r>
          </w:p>
          <w:p w14:paraId="7B705A0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3.充足的碳水化合物  保证机体足够能量，减少蛋白质的消耗，保证蛋白质的充分利用。碳水 合物应占总能量的60%～65%。</w:t>
            </w:r>
          </w:p>
          <w:p w14:paraId="4A77E18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4.限制脂肪 脂肪的摄入量尤其是动物脂肪(主要是饱和脂肪酸)与多种恶性肿瘤的发生有关。 适当限制脂肪的摄入。</w:t>
            </w:r>
          </w:p>
          <w:p w14:paraId="72A335D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5.充足的维生素与无机盐  维生素A、维生素C、维生素E 、β胡萝卜素、叶酸、番茄红素，以及 、硒等具有抗癌作用。 </w:t>
            </w:r>
          </w:p>
          <w:p w14:paraId="63195F9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6.适宜的水分  最主要的依据是血生化指标及水出入量记录。 　　</w:t>
            </w:r>
          </w:p>
          <w:p w14:paraId="67926F2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7.限制酒精摄入  为预防癌症，最好不饮酒，如果不能避免，饮酒量不超过膳食指南的推荐量。</w:t>
            </w:r>
          </w:p>
          <w:p w14:paraId="4DD405D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8.限制烟草  烟草与多种癌症，如肺癌、喉癌、口腔癌、唇癌、食管癌、膀胱癌等的发病明确相。因此，癌症预防建议不要吸烟或咀嚼烟草。</w:t>
            </w:r>
          </w:p>
          <w:p w14:paraId="57178D3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 9.植物化学物  类胡萝卜素和癌症发病的危险性呈明显负相关。类黄酮化合物有些化合物有抗癌活性，能抑制致癌物的致癌作用。　</w:t>
            </w:r>
          </w:p>
          <w:p w14:paraId="1712F70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(三)膳食指导</w:t>
            </w:r>
          </w:p>
          <w:p w14:paraId="4F3642E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1.食物选择</w:t>
            </w:r>
          </w:p>
          <w:p w14:paraId="54CA066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(1)宜选食物</w:t>
            </w:r>
          </w:p>
          <w:p w14:paraId="5ED7EFD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1)建议大部分癌症患者多食用优质蛋白类、常规脂肪类、纤维类，以及蔬菜、水果、维生素含量 高的食物等，保持新鲜、卫生，及时补充体内所需营养成分，有效提高免疫功能，增强抵抗力。</w:t>
            </w:r>
          </w:p>
          <w:p w14:paraId="004F516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放化疗患者饮食：放射治疗(简称放疗)可引起食欲减退及消化道黏膜损伤，化疗患者常出现恶心、呕吐、食欲下降等上消化道症状。放化疗患者的摄入及吸收功能发生障碍，可给予清淡少油易消化的流质或半流质膳食，如牛乳冲米粉、牛乳冲鸡蛋、水果汁、鲫鱼汤等。可适当补充肠内营养剂，使患者提高放化疗的耐受性。</w:t>
            </w:r>
          </w:p>
          <w:p w14:paraId="7A369DD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(2)忌(少)食物：戒烟限酒，忌食或少食腌制食物、烧烤类及油炸食物、动物脂肪、霉变食物和辛辣刺激性食物。</w:t>
            </w:r>
          </w:p>
          <w:p w14:paraId="329DADB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2.食谱和营养分析  案例分析：王爷爷，66岁，身高1.72m，体重62kg，BMI20.96kg/m2　,属于正常范围；行肺癌手术及放疗治疗8次，体重减轻较快，为疾病消耗所致机体代谢消耗过快，有营养失衡现象，需要提供适宜的能量和营养素，改善营养不良，调节代谢。</w:t>
            </w:r>
          </w:p>
          <w:p w14:paraId="4AB3DC1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营养分析：食谱总能量8.56MJ（2045kcal），蛋白质110g（440kcal，供能占总能量22%），脂肪45g（405kcal，供能占总能量20%），碳水化合物300g（1200kcal，供能占总能量58%）。</w:t>
            </w:r>
          </w:p>
          <w:p w14:paraId="64476D1E">
            <w:pPr>
              <w:keepNext w:val="0"/>
              <w:keepLines w:val="0"/>
              <w:widowControl w:val="0"/>
              <w:suppressLineNumbers w:val="0"/>
              <w:spacing w:before="0" w:beforeAutospacing="0" w:after="0" w:afterAutospacing="0" w:line="360" w:lineRule="auto"/>
              <w:ind w:left="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食谱分析：食谱主副食供给合理；提供充足的能量和蛋白质，在保证主食的情况下，增加瘦猪肉、鱼类等优质蛋白质的摄入；通过蔬菜和水果补充适量维生素和膳食纤维；整体膳食清淡，有利于放化疗老年人群食用。</w:t>
            </w:r>
          </w:p>
          <w:p w14:paraId="4600A18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恶性肿瘤营养治疗方案</w:t>
            </w:r>
          </w:p>
          <w:p w14:paraId="6E567DD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肿瘤患者营养支持的指导原则：</w:t>
            </w:r>
            <w:r>
              <w:rPr>
                <w:rFonts w:hint="default" w:ascii="Times New Roman" w:hAnsi="Times New Roman"/>
                <w:color w:val="auto"/>
                <w:sz w:val="24"/>
                <w:szCs w:val="24"/>
                <w:lang w:val="en-US" w:eastAsia="zh-CN"/>
              </w:rPr>
              <w:t>①</w:t>
            </w:r>
            <w:r>
              <w:rPr>
                <w:rFonts w:hint="eastAsia" w:ascii="Times New Roman" w:hAnsi="Times New Roman"/>
                <w:color w:val="auto"/>
                <w:sz w:val="24"/>
                <w:szCs w:val="24"/>
                <w:lang w:val="en-US" w:eastAsia="zh-CN"/>
              </w:rPr>
              <w:t>肿瘤患者若有严重营养不良或因胃肠道功能障碍和其他代谢、药物、放疗等毒性因素预期患者膳食不足一周者，应给予肠内或肠外营养支持，并尽可能进行抗癌治疗。</w:t>
            </w:r>
            <w:r>
              <w:rPr>
                <w:rFonts w:hint="default" w:ascii="Times New Roman" w:hAnsi="Times New Roman"/>
                <w:color w:val="auto"/>
                <w:sz w:val="24"/>
                <w:szCs w:val="24"/>
                <w:lang w:val="en-US" w:eastAsia="zh-CN"/>
              </w:rPr>
              <w:t>②</w:t>
            </w:r>
            <w:r>
              <w:rPr>
                <w:rFonts w:hint="eastAsia" w:ascii="Times New Roman" w:hAnsi="Times New Roman"/>
                <w:color w:val="auto"/>
                <w:sz w:val="24"/>
                <w:szCs w:val="24"/>
                <w:lang w:val="en-US" w:eastAsia="zh-CN"/>
              </w:rPr>
              <w:t>营养良好或仅有轻度营养不良，并预期自然膳食足够的肿瘤患者在手术、化疗或放疗时无需营养支持。</w:t>
            </w:r>
            <w:r>
              <w:rPr>
                <w:rFonts w:hint="default" w:ascii="Times New Roman" w:hAnsi="Times New Roman"/>
                <w:color w:val="auto"/>
                <w:sz w:val="24"/>
                <w:szCs w:val="24"/>
                <w:lang w:val="en-US" w:eastAsia="zh-CN"/>
              </w:rPr>
              <w:t>③</w:t>
            </w:r>
            <w:r>
              <w:rPr>
                <w:rFonts w:hint="eastAsia" w:ascii="Times New Roman" w:hAnsi="Times New Roman"/>
                <w:color w:val="auto"/>
                <w:sz w:val="24"/>
                <w:szCs w:val="24"/>
                <w:lang w:val="en-US" w:eastAsia="zh-CN"/>
              </w:rPr>
              <w:t>完全肠外营养支持对化疗和放疗无效的进展期肿瘤患者。</w:t>
            </w:r>
          </w:p>
          <w:p w14:paraId="72D9BC2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1.手术患者营养治疗</w:t>
            </w:r>
          </w:p>
          <w:p w14:paraId="56A9951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（1）术前营养治疗：目前在于改善恶性肿瘤患者的营养状态，提高其对手术的承受能力，减少术后并发症，降低死亡率。 </w:t>
            </w:r>
          </w:p>
          <w:p w14:paraId="204E544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2）术后营养治疗：可在术后第1、2日待患者内环境稳定后，开始肠外营养支持；估计术后需较长时间进食或1周以上不能进食者，可在术后做胃或空肠造瘘，术后早期（24-48小时内）开始肠内营养支持，逐渐经口进食半量流质，至全量流质。 </w:t>
            </w:r>
          </w:p>
          <w:p w14:paraId="7F1160C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3）放疗和化疗期间的营养治疗：肠内营养有助于胃肠道黏膜的修复，维护肠粘膜屏障，应首先选择肠内营养，根据患者吞咽情况，采用清淡少油流质膳食，可适当补充肠内营养制剂，如果存在严重的胃肠功能障碍或明显消化道症状，则应选择肠外营养支持。</w:t>
            </w:r>
          </w:p>
          <w:p w14:paraId="43DD985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2.放疗营养方案</w:t>
            </w:r>
          </w:p>
          <w:p w14:paraId="68CE3DF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（1）在保证主食量的同时适当增加高蛋白质和高维生素食物（如鸡蛋、酸奶、豆制品、瘦肉、多种蔬菜、水果）的摄入量。</w:t>
            </w:r>
          </w:p>
          <w:p w14:paraId="090A39A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（2）可以在治疗前1小时吃一些事物以保证不要空腹接受治疗。少食多餐要好于只进食3次正餐。手边可常备一些加餐实物，如面包、饼干、酸奶、水果、坚果等。</w:t>
            </w:r>
          </w:p>
          <w:p w14:paraId="2A65B7C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（3）经口正常进食不能满足需要的患者可使用营养补充品（如肠内营养制剂）。每日1-2杯营养液可改善营养不良，预防白细胞降低。</w:t>
            </w:r>
          </w:p>
          <w:p w14:paraId="5F7DFF4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（4）对头颈部放疗引起口干的患者应多喝水，另外饮食中可增加一些滋阴生津的食物，如梨汁、橙汁、酸梅汤等。</w:t>
            </w:r>
          </w:p>
          <w:p w14:paraId="63B0FE1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（5）严重口腔炎、食管炎导致吞咽困难的患者，可以给流食或半流食，如牛乳、鸡蛋羹、米粥、果蔬汁、匀浆膳等，并避免过冷、过热、酸辣刺激性食物。口腔炎患者还应定期漱口，有助于预防口腔感染。</w:t>
            </w:r>
          </w:p>
          <w:p w14:paraId="7CBD9AA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6）肠道放疗导致放射性肠炎的患者，急性期应尽量避免油腻、高纤维（如玉米、大麦、芹菜等）、产气多的果蔬（如萝卜、韭菜、甜瓜等），刺激性食物及碳酸饮料等。可食含膳食纤维少的蔬菜如冬瓜、去皮番茄、煮熟的生菜、马铃薯等。腹泻严重的患者可暂时禁食，通过肠外营养支持补充营养。</w:t>
            </w:r>
          </w:p>
          <w:p w14:paraId="50B95AD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Times New Roman" w:hAnsi="Times New Roman"/>
                <w:color w:val="auto"/>
                <w:sz w:val="24"/>
                <w:szCs w:val="24"/>
                <w:lang w:val="en-US" w:eastAsia="zh-CN"/>
              </w:rPr>
            </w:pPr>
            <w:r>
              <w:rPr>
                <w:rFonts w:hint="eastAsia" w:ascii="Times New Roman" w:hAnsi="Times New Roman"/>
                <w:color w:val="auto"/>
                <w:sz w:val="24"/>
                <w:szCs w:val="24"/>
                <w:lang w:val="en-US" w:eastAsia="zh-CN"/>
              </w:rPr>
              <w:t xml:space="preserve">3.化疗营养方案  尽量保证在化疗之前摄入食物，并利用治疗反应发生的间隙及食欲好时多摄入食物。化疗前进食清淡食物，可增加对化疗药物的耐受性。对食欲减退、消化不良的患者可选择开胃、助消化的食物，如山楂、白萝卜、山药、酸奶等。少食多餐，多吃一些营养丰富又健康的加餐食品。 </w:t>
            </w:r>
          </w:p>
          <w:p w14:paraId="7216526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4.家庭营养治疗  对于伴有严重厌食、但不准备再做进一步抗肿瘤治疗的患者，若胃肠功能存在，可提供家庭肠内营养治疗，以期改善生活质量。 　　</w:t>
            </w:r>
          </w:p>
          <w:p w14:paraId="43D9D50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【学生】思考、讨论。</w:t>
            </w:r>
          </w:p>
          <w:p w14:paraId="51E9B77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宋体" w:hAnsi="宋体" w:eastAsia="宋体" w:cs="宋体"/>
                <w:color w:val="538135"/>
                <w:kern w:val="2"/>
                <w:sz w:val="24"/>
                <w:szCs w:val="24"/>
                <w:lang w:val="en-US" w:eastAsia="zh-CN" w:bidi="ar"/>
              </w:rPr>
            </w:pPr>
            <w:r>
              <w:rPr>
                <w:rFonts w:hint="eastAsia" w:ascii="Times New Roman" w:hAnsi="Times New Roman"/>
                <w:color w:val="auto"/>
                <w:sz w:val="24"/>
                <w:szCs w:val="24"/>
                <w:lang w:val="en-US" w:eastAsia="zh-CN"/>
              </w:rPr>
              <w:t>情分析老年肥胖症、老年糖尿病人、老年癌症病人的营养相关因素及营养防治。</w:t>
            </w:r>
          </w:p>
        </w:tc>
        <w:tc>
          <w:tcPr>
            <w:tcW w:w="1696" w:type="dxa"/>
            <w:tcBorders>
              <w:tl2br w:val="nil"/>
              <w:tr2bl w:val="nil"/>
            </w:tcBorders>
            <w:vAlign w:val="center"/>
          </w:tcPr>
          <w:p w14:paraId="6AEFB4C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从案例导入引入老年常见慢病，然后从营养相关因素、营养防治、膳食指导等三个方面讲解老年常见慢病的营养特点，最后案例分析着手，为病人制定食谱，并对食谱进行分析，</w:t>
            </w:r>
            <w:r>
              <w:rPr>
                <w:rFonts w:hint="eastAsia" w:ascii="Times New Roman" w:hAnsi="Times New Roman"/>
                <w:b/>
                <w:sz w:val="24"/>
                <w:szCs w:val="24"/>
                <w:lang w:eastAsia="zh-CN"/>
              </w:rPr>
              <w:t>从而</w:t>
            </w:r>
            <w:r>
              <w:rPr>
                <w:rFonts w:hint="eastAsia" w:ascii="Times New Roman" w:hAnsi="Times New Roman"/>
                <w:b/>
                <w:sz w:val="24"/>
                <w:szCs w:val="24"/>
                <w:lang w:val="en-US" w:eastAsia="zh-CN"/>
              </w:rPr>
              <w:t>让学生在真实的工作情境中掌握了老年常见慢病的营养学知识，</w:t>
            </w:r>
            <w:r>
              <w:rPr>
                <w:rFonts w:hint="eastAsia" w:ascii="Times New Roman" w:hAnsi="Times New Roman"/>
                <w:b/>
                <w:sz w:val="24"/>
                <w:szCs w:val="24"/>
              </w:rPr>
              <w:t>激发学生的学习欲望</w:t>
            </w:r>
            <w:r>
              <w:rPr>
                <w:rFonts w:hint="eastAsia" w:ascii="Times New Roman" w:hAnsi="Times New Roman"/>
                <w:b/>
                <w:sz w:val="24"/>
                <w:szCs w:val="24"/>
                <w:lang w:eastAsia="zh-CN"/>
              </w:rPr>
              <w:t>，</w:t>
            </w:r>
            <w:r>
              <w:rPr>
                <w:rFonts w:hint="eastAsia" w:ascii="Times New Roman" w:hAnsi="Times New Roman"/>
                <w:b/>
                <w:sz w:val="24"/>
                <w:szCs w:val="24"/>
                <w:lang w:val="en-US" w:eastAsia="zh-CN"/>
              </w:rPr>
              <w:t>培养了学生的职业素养</w:t>
            </w:r>
            <w:r>
              <w:rPr>
                <w:rFonts w:hint="eastAsia" w:ascii="Times New Roman" w:hAnsi="Times New Roman"/>
                <w:b/>
                <w:sz w:val="24"/>
                <w:szCs w:val="24"/>
              </w:rPr>
              <w:t>。</w:t>
            </w:r>
          </w:p>
        </w:tc>
      </w:tr>
      <w:tr w14:paraId="1891FCA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780680E">
            <w:pPr>
              <w:keepNext w:val="0"/>
              <w:keepLines w:val="0"/>
              <w:suppressLineNumbers w:val="0"/>
              <w:spacing w:before="0" w:beforeAutospacing="0" w:after="0" w:afterAutospacing="0" w:line="360" w:lineRule="auto"/>
              <w:ind w:left="0" w:leftChars="0" w:right="0" w:rightChars="0" w:hanging="8" w:firstLineChars="0"/>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715BA35E">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3E7E9F79">
            <w:pPr>
              <w:keepNext w:val="0"/>
              <w:keepLines w:val="0"/>
              <w:suppressLineNumbers w:val="0"/>
              <w:spacing w:before="0" w:beforeAutospacing="0" w:after="0" w:afterAutospacing="0" w:line="360" w:lineRule="auto"/>
              <w:ind w:left="0" w:leftChars="0" w:right="0" w:rightChars="0" w:firstLine="480" w:firstLineChars="200"/>
              <w:rPr>
                <w:rFonts w:hint="eastAsia" w:hAnsi="宋体" w:eastAsia="宋体"/>
                <w:bCs/>
                <w:sz w:val="24"/>
                <w:szCs w:val="24"/>
                <w:lang w:eastAsia="zh-CN"/>
              </w:rPr>
            </w:pPr>
            <w:r>
              <w:rPr>
                <w:rFonts w:hint="eastAsia" w:ascii="Times New Roman" w:hAnsi="Times New Roman"/>
                <w:color w:val="auto"/>
                <w:sz w:val="24"/>
                <w:szCs w:val="24"/>
                <w:lang w:val="en-US" w:eastAsia="zh-CN"/>
              </w:rPr>
              <w:t>请为老年肥胖症、老年糖尿病人、老年癌症病人制定营养食谱。</w:t>
            </w:r>
          </w:p>
        </w:tc>
        <w:tc>
          <w:tcPr>
            <w:tcW w:w="1696" w:type="dxa"/>
            <w:tcBorders>
              <w:tl2br w:val="nil"/>
              <w:tr2bl w:val="nil"/>
            </w:tcBorders>
            <w:vAlign w:val="center"/>
          </w:tcPr>
          <w:p w14:paraId="466C4E3C">
            <w:pPr>
              <w:keepNext w:val="0"/>
              <w:keepLines w:val="0"/>
              <w:suppressLineNumbers w:val="0"/>
              <w:spacing w:before="0" w:beforeAutospacing="0" w:after="0" w:afterAutospacing="0" w:line="360" w:lineRule="auto"/>
              <w:ind w:left="0" w:leftChars="0" w:right="0" w:rightChars="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00C1730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BFBF922">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E0EE1A1">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4</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30C3BA0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14A00B9">
            <w:pPr>
              <w:keepNext w:val="0"/>
              <w:keepLines w:val="0"/>
              <w:suppressLineNumbers w:val="0"/>
              <w:spacing w:before="0" w:beforeAutospacing="0" w:after="0" w:afterAutospacing="0" w:line="360" w:lineRule="auto"/>
              <w:ind w:left="0" w:leftChars="0" w:right="0" w:rightChars="0" w:firstLine="480" w:firstLineChars="200"/>
              <w:rPr>
                <w:rFonts w:hint="default" w:ascii="Times New Roman" w:hAnsi="Times New Roman" w:eastAsia="宋体" w:cs="Times New Roman"/>
                <w:b/>
                <w:bCs w:val="0"/>
                <w:kern w:val="2"/>
                <w:sz w:val="24"/>
                <w:szCs w:val="24"/>
                <w:lang w:val="en-US" w:eastAsia="zh-CN" w:bidi="ar-SA"/>
              </w:rPr>
            </w:pPr>
            <w:r>
              <w:rPr>
                <w:rFonts w:hint="eastAsia" w:ascii="Times New Roman" w:hAnsi="Times New Roman"/>
                <w:color w:val="auto"/>
                <w:sz w:val="24"/>
                <w:szCs w:val="24"/>
                <w:lang w:val="en-US" w:eastAsia="zh-CN"/>
              </w:rPr>
              <w:t>老年肥胖症、老年糖尿病人、老年癌症病人的营养相关因素、营养防治及食谱指导。</w:t>
            </w:r>
          </w:p>
        </w:tc>
        <w:tc>
          <w:tcPr>
            <w:tcW w:w="1696" w:type="dxa"/>
            <w:tcBorders>
              <w:tl2br w:val="nil"/>
              <w:tr2bl w:val="nil"/>
            </w:tcBorders>
            <w:vAlign w:val="center"/>
          </w:tcPr>
          <w:p w14:paraId="2415C8D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6FD3DDC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A514C7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26D88AB4">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lang w:val="en-US" w:eastAsia="zh-CN"/>
              </w:rPr>
              <w:t>利用典型案例教学，</w:t>
            </w:r>
            <w:r>
              <w:rPr>
                <w:rFonts w:hint="default" w:ascii="Times New Roman" w:hAnsi="Times New Roman"/>
                <w:sz w:val="24"/>
                <w:szCs w:val="24"/>
              </w:rPr>
              <w:t>巧用启发思维，让</w:t>
            </w:r>
            <w:r>
              <w:rPr>
                <w:rFonts w:hint="eastAsia" w:ascii="Times New Roman" w:hAnsi="Times New Roman"/>
                <w:sz w:val="24"/>
                <w:szCs w:val="24"/>
                <w:lang w:val="en-US" w:eastAsia="zh-CN"/>
              </w:rPr>
              <w:t>学生</w:t>
            </w:r>
            <w:r>
              <w:rPr>
                <w:rFonts w:hint="default" w:ascii="Times New Roman" w:hAnsi="Times New Roman"/>
                <w:sz w:val="24"/>
                <w:szCs w:val="24"/>
              </w:rPr>
              <w:t>能体会到举一反三，做到有所领悟和创新，掌握</w:t>
            </w:r>
            <w:r>
              <w:rPr>
                <w:rFonts w:hint="eastAsia" w:ascii="Times New Roman" w:hAnsi="Times New Roman"/>
                <w:sz w:val="24"/>
                <w:szCs w:val="24"/>
                <w:lang w:val="en-US" w:eastAsia="zh-CN"/>
              </w:rPr>
              <w:t>各种老年慢病的营养护理</w:t>
            </w:r>
            <w:r>
              <w:rPr>
                <w:rFonts w:hint="default" w:ascii="Times New Roman" w:hAnsi="Times New Roman"/>
                <w:sz w:val="24"/>
                <w:szCs w:val="24"/>
              </w:rPr>
              <w:t>的</w:t>
            </w:r>
            <w:r>
              <w:rPr>
                <w:rFonts w:hint="eastAsia" w:ascii="Times New Roman" w:hAnsi="Times New Roman"/>
                <w:sz w:val="24"/>
                <w:szCs w:val="24"/>
                <w:lang w:val="en-US" w:eastAsia="zh-CN"/>
              </w:rPr>
              <w:t>知识和技能。</w:t>
            </w:r>
          </w:p>
        </w:tc>
      </w:tr>
    </w:tbl>
    <w:p w14:paraId="1CC1584A"/>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10"/>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76D56191">
    <w:pPr>
      <w:pStyle w:val="10"/>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10"/>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FB84519"/>
    <w:rsid w:val="20DD7BA0"/>
    <w:rsid w:val="20F13C9B"/>
    <w:rsid w:val="21A8626D"/>
    <w:rsid w:val="21ED3737"/>
    <w:rsid w:val="238347DF"/>
    <w:rsid w:val="24B477DD"/>
    <w:rsid w:val="278141AB"/>
    <w:rsid w:val="28B578A7"/>
    <w:rsid w:val="2FBD002D"/>
    <w:rsid w:val="322A12C5"/>
    <w:rsid w:val="32CC3C22"/>
    <w:rsid w:val="34AD60CD"/>
    <w:rsid w:val="34B67F89"/>
    <w:rsid w:val="368D542E"/>
    <w:rsid w:val="388B134B"/>
    <w:rsid w:val="436C72A2"/>
    <w:rsid w:val="43CD7F64"/>
    <w:rsid w:val="44B33A23"/>
    <w:rsid w:val="45C91BBA"/>
    <w:rsid w:val="49F8701E"/>
    <w:rsid w:val="4C7F0E23"/>
    <w:rsid w:val="564B10AC"/>
    <w:rsid w:val="5A7C6694"/>
    <w:rsid w:val="600E33E1"/>
    <w:rsid w:val="622A303A"/>
    <w:rsid w:val="6A1E27B3"/>
    <w:rsid w:val="6EEC40D8"/>
    <w:rsid w:val="6F196819"/>
    <w:rsid w:val="723010AC"/>
    <w:rsid w:val="75365E0D"/>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1"/>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4"/>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qFormat/>
    <w:uiPriority w:val="1"/>
  </w:style>
  <w:style w:type="table" w:default="1" w:styleId="1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9"/>
    <w:unhideWhenUsed/>
    <w:qFormat/>
    <w:uiPriority w:val="0"/>
    <w:rPr>
      <w:rFonts w:eastAsia="黑体" w:asciiTheme="majorHAnsi" w:hAnsiTheme="majorHAnsi" w:cstheme="majorBidi"/>
      <w:sz w:val="20"/>
      <w:szCs w:val="20"/>
    </w:rPr>
  </w:style>
  <w:style w:type="paragraph" w:styleId="8">
    <w:name w:val="Body Text"/>
    <w:basedOn w:val="1"/>
    <w:qFormat/>
    <w:uiPriority w:val="0"/>
    <w:rPr>
      <w:rFonts w:ascii="宋体" w:hAnsi="宋体" w:eastAsia="宋体" w:cs="宋体"/>
      <w:sz w:val="22"/>
      <w:szCs w:val="22"/>
      <w:lang w:val="en-US" w:eastAsia="en-US" w:bidi="ar-SA"/>
    </w:rPr>
  </w:style>
  <w:style w:type="paragraph" w:styleId="9">
    <w:name w:val="footer"/>
    <w:basedOn w:val="1"/>
    <w:link w:val="20"/>
    <w:unhideWhenUsed/>
    <w:qFormat/>
    <w:uiPriority w:val="99"/>
    <w:pPr>
      <w:tabs>
        <w:tab w:val="center" w:pos="4153"/>
        <w:tab w:val="right" w:pos="8306"/>
      </w:tabs>
      <w:snapToGrid w:val="0"/>
      <w:jc w:val="left"/>
    </w:pPr>
    <w:rPr>
      <w:sz w:val="18"/>
      <w:szCs w:val="18"/>
    </w:rPr>
  </w:style>
  <w:style w:type="paragraph" w:styleId="10">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3"/>
    <w:link w:val="10"/>
    <w:qFormat/>
    <w:uiPriority w:val="99"/>
    <w:rPr>
      <w:rFonts w:ascii="Calibri" w:hAnsi="Calibri" w:eastAsia="宋体" w:cs="Times New Roman"/>
      <w:sz w:val="18"/>
      <w:szCs w:val="18"/>
    </w:rPr>
  </w:style>
  <w:style w:type="character" w:customStyle="1" w:styleId="20">
    <w:name w:val="页脚 Char"/>
    <w:basedOn w:val="13"/>
    <w:link w:val="9"/>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3"/>
    <w:link w:val="4"/>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3"/>
    <w:link w:val="5"/>
    <w:semiHidden/>
    <w:qFormat/>
    <w:uiPriority w:val="9"/>
    <w:rPr>
      <w:rFonts w:ascii="Calibri" w:hAnsi="Calibri" w:eastAsia="宋体" w:cs="Times New Roman"/>
      <w:b/>
      <w:bCs/>
      <w:sz w:val="28"/>
      <w:szCs w:val="28"/>
    </w:rPr>
  </w:style>
  <w:style w:type="character" w:customStyle="1" w:styleId="27">
    <w:name w:val="标题 6 Char"/>
    <w:basedOn w:val="13"/>
    <w:link w:val="6"/>
    <w:semiHidden/>
    <w:qFormat/>
    <w:uiPriority w:val="9"/>
    <w:rPr>
      <w:rFonts w:asciiTheme="majorHAnsi" w:hAnsiTheme="majorHAnsi" w:eastAsiaTheme="majorEastAsia" w:cstheme="majorBidi"/>
      <w:b/>
      <w:bCs/>
      <w:sz w:val="24"/>
      <w:szCs w:val="24"/>
    </w:rPr>
  </w:style>
  <w:style w:type="paragraph" w:customStyle="1" w:styleId="28">
    <w:name w:val="图片"/>
    <w:basedOn w:val="1"/>
    <w:next w:val="7"/>
    <w:link w:val="30"/>
    <w:qFormat/>
    <w:uiPriority w:val="0"/>
    <w:pPr>
      <w:spacing w:before="120"/>
      <w:jc w:val="center"/>
    </w:pPr>
    <w:rPr>
      <w:rFonts w:ascii="Times New Roman" w:hAnsi="Times New Roman"/>
      <w:szCs w:val="20"/>
    </w:rPr>
  </w:style>
  <w:style w:type="character" w:customStyle="1" w:styleId="29">
    <w:name w:val="题注 Char"/>
    <w:link w:val="7"/>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 w:type="character" w:customStyle="1" w:styleId="31">
    <w:name w:val="标题 3 Char"/>
    <w:basedOn w:val="13"/>
    <w:link w:val="3"/>
    <w:semiHidden/>
    <w:qFormat/>
    <w:uiPriority w:val="9"/>
    <w:rPr>
      <w:rFonts w:ascii="Calibri" w:hAnsi="Calibri" w:eastAsia="宋体" w:cs="Times New Roman"/>
      <w:b/>
      <w:bCs/>
      <w:sz w:val="32"/>
      <w:szCs w:val="32"/>
    </w:rPr>
  </w:style>
  <w:style w:type="paragraph" w:customStyle="1" w:styleId="32">
    <w:name w:val="Table Text"/>
    <w:basedOn w:val="1"/>
    <w:semiHidden/>
    <w:qFormat/>
    <w:uiPriority w:val="0"/>
    <w:rPr>
      <w:rFonts w:ascii="宋体" w:hAnsi="宋体" w:eastAsia="宋体" w:cs="宋体"/>
      <w:sz w:val="19"/>
      <w:szCs w:val="19"/>
      <w:lang w:val="en-US" w:eastAsia="en-US" w:bidi="ar-SA"/>
    </w:rPr>
  </w:style>
  <w:style w:type="table" w:customStyle="1" w:styleId="33">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20</Pages>
  <Words>11862</Words>
  <Characters>13935</Characters>
  <Lines>1</Lines>
  <Paragraphs>1</Paragraphs>
  <TotalTime>22</TotalTime>
  <ScaleCrop>false</ScaleCrop>
  <LinksUpToDate>false</LinksUpToDate>
  <CharactersWithSpaces>14240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嘟嘟</cp:lastModifiedBy>
  <dcterms:modified xsi:type="dcterms:W3CDTF">2025-09-01T07:06:54Z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30E5848F283C4E1BA255659BC42DD711_13</vt:lpwstr>
  </property>
  <property fmtid="{D5CDD505-2E9C-101B-9397-08002B2CF9AE}" pid="4" name="KSOTemplateDocerSaveRecord">
    <vt:lpwstr>eyJoZGlkIjoiNTRhMzg2OWJjMjI3MTg1NjMwMzY2YzM2YjFhZmRkZDkiLCJ1c2VySWQiOiI2NzMyNTM1ODMifQ==</vt:lpwstr>
  </property>
</Properties>
</file>